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672A8" w14:textId="77777777" w:rsidR="00B67CB3" w:rsidRPr="00B67CB3" w:rsidRDefault="00B67CB3" w:rsidP="00B67CB3">
      <w:pPr>
        <w:widowControl/>
        <w:shd w:val="clear" w:color="auto" w:fill="FFFFFF"/>
        <w:spacing w:after="210"/>
        <w:outlineLvl w:val="1"/>
        <w:rPr>
          <w:rFonts w:ascii="Microsoft YaHei UI" w:eastAsia="Microsoft YaHei UI" w:hAnsi="Microsoft YaHei UI" w:cs="宋体"/>
          <w:color w:val="333333"/>
          <w:spacing w:val="8"/>
          <w:kern w:val="0"/>
          <w:sz w:val="33"/>
          <w:szCs w:val="33"/>
        </w:rPr>
      </w:pPr>
      <w:r w:rsidRPr="00B67CB3">
        <w:rPr>
          <w:rFonts w:ascii="Microsoft YaHei UI" w:eastAsia="Microsoft YaHei UI" w:hAnsi="Microsoft YaHei UI" w:cs="宋体" w:hint="eastAsia"/>
          <w:color w:val="333333"/>
          <w:spacing w:val="8"/>
          <w:kern w:val="0"/>
          <w:sz w:val="33"/>
          <w:szCs w:val="33"/>
        </w:rPr>
        <w:t>【石油观察家】国际石油巨头油气产业投资分析——以壳牌为例</w:t>
      </w:r>
    </w:p>
    <w:p w14:paraId="6238B9DF" w14:textId="77777777" w:rsidR="00B67CB3" w:rsidRPr="00B67CB3" w:rsidRDefault="00B67CB3" w:rsidP="00B67CB3">
      <w:pPr>
        <w:widowControl/>
        <w:rPr>
          <w:rFonts w:ascii="宋体" w:eastAsia="宋体" w:hAnsi="宋体" w:cs="宋体"/>
          <w:kern w:val="0"/>
          <w:sz w:val="24"/>
          <w:szCs w:val="24"/>
        </w:rPr>
      </w:pPr>
      <w:r w:rsidRPr="00B67CB3">
        <w:rPr>
          <w:rFonts w:ascii="宋体" w:eastAsia="宋体" w:hAnsi="宋体" w:cs="宋体"/>
          <w:kern w:val="0"/>
          <w:sz w:val="24"/>
          <w:szCs w:val="24"/>
        </w:rPr>
        <w:t>文 | 石油观察智库研究员李允执</w:t>
      </w:r>
    </w:p>
    <w:p w14:paraId="353F9A72" w14:textId="77777777" w:rsidR="00B67CB3" w:rsidRPr="00B67CB3" w:rsidRDefault="00B67CB3" w:rsidP="00B67CB3">
      <w:pPr>
        <w:widowControl/>
        <w:rPr>
          <w:rFonts w:ascii="宋体" w:eastAsia="宋体" w:hAnsi="宋体" w:cs="宋体"/>
          <w:kern w:val="0"/>
          <w:sz w:val="24"/>
          <w:szCs w:val="24"/>
        </w:rPr>
      </w:pPr>
    </w:p>
    <w:p w14:paraId="6414D99C" w14:textId="77777777" w:rsidR="00B67CB3" w:rsidRPr="00B67CB3" w:rsidRDefault="00B67CB3" w:rsidP="00B67CB3">
      <w:pPr>
        <w:widowControl/>
        <w:ind w:firstLine="480"/>
        <w:rPr>
          <w:rFonts w:ascii="宋体" w:eastAsia="宋体" w:hAnsi="宋体" w:cs="宋体"/>
          <w:kern w:val="0"/>
          <w:sz w:val="24"/>
          <w:szCs w:val="24"/>
        </w:rPr>
      </w:pPr>
      <w:r w:rsidRPr="00B67CB3">
        <w:rPr>
          <w:rFonts w:ascii="宋体" w:eastAsia="宋体" w:hAnsi="宋体" w:cs="宋体"/>
          <w:kern w:val="0"/>
          <w:sz w:val="24"/>
          <w:szCs w:val="24"/>
        </w:rPr>
        <w:t>埃克森美孚、壳牌、BP等国际石油巨头每年或每隔一段时间都会对世界能源行业发展前景进行展望，以指导本公司的产业投资活动。近十年，石油巨头们对天然气产业的关注日益升温并加快在该领域的布局。埃克森美孚在2016年公司年报中预测，到2040年石油和天然气仍是全球能源的主要来源，从2015年到2040年天然气供应量年均增长率（1.5%）是石油（0.7%）的两倍多，天然气产业的巨大前景值得期待（如图一所示）。</w:t>
      </w:r>
    </w:p>
    <w:p w14:paraId="0EED197B" w14:textId="77777777" w:rsidR="00B67CB3" w:rsidRPr="00B67CB3" w:rsidRDefault="00B67CB3" w:rsidP="00B67CB3">
      <w:pPr>
        <w:widowControl/>
        <w:jc w:val="center"/>
        <w:rPr>
          <w:rFonts w:ascii="宋体" w:eastAsia="宋体" w:hAnsi="宋体" w:cs="宋体"/>
          <w:kern w:val="0"/>
          <w:sz w:val="24"/>
          <w:szCs w:val="24"/>
        </w:rPr>
      </w:pPr>
      <w:r w:rsidRPr="00B67CB3">
        <w:rPr>
          <w:rFonts w:ascii="宋体" w:eastAsia="宋体" w:hAnsi="宋体" w:cs="宋体"/>
          <w:kern w:val="0"/>
          <w:sz w:val="24"/>
          <w:szCs w:val="24"/>
        </w:rPr>
        <w:t>图一：2040年全球能源展望</w:t>
      </w:r>
    </w:p>
    <w:p w14:paraId="38F73510" w14:textId="15A83F9D" w:rsidR="00B67CB3" w:rsidRPr="00B67CB3" w:rsidRDefault="00B67CB3" w:rsidP="00B67CB3">
      <w:pPr>
        <w:widowControl/>
        <w:rPr>
          <w:rFonts w:ascii="宋体" w:eastAsia="宋体" w:hAnsi="宋体" w:cs="宋体"/>
          <w:kern w:val="0"/>
          <w:sz w:val="24"/>
          <w:szCs w:val="24"/>
        </w:rPr>
      </w:pPr>
      <w:r w:rsidRPr="00B67CB3">
        <w:rPr>
          <w:rFonts w:ascii="宋体" w:eastAsia="宋体" w:hAnsi="宋体" w:cs="宋体"/>
          <w:noProof/>
          <w:kern w:val="0"/>
          <w:sz w:val="24"/>
          <w:szCs w:val="24"/>
        </w:rPr>
        <mc:AlternateContent>
          <mc:Choice Requires="wps">
            <w:drawing>
              <wp:inline distT="0" distB="0" distL="0" distR="0" wp14:anchorId="743582CD" wp14:editId="7E49AECF">
                <wp:extent cx="304800" cy="304800"/>
                <wp:effectExtent l="0" t="0" r="0" b="0"/>
                <wp:docPr id="4" name="矩形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47B6E0" id="矩形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fxTDlfMBAADBAwAADgAAAAAAAAAAAAAAAAAuAgAAZHJzL2Uyb0Rv&#10;Yy54bWxQSwECLQAUAAYACAAAACEATKDpLNgAAAADAQAADwAAAAAAAAAAAAAAAABNBAAAZHJzL2Rv&#10;d25yZXYueG1sUEsFBgAAAAAEAAQA8wAAAFIFAAAAAA==&#10;" filled="f" stroked="f">
                <o:lock v:ext="edit" aspectratio="t"/>
                <w10:anchorlock/>
              </v:rect>
            </w:pict>
          </mc:Fallback>
        </mc:AlternateContent>
      </w:r>
      <w:r>
        <w:rPr>
          <w:noProof/>
        </w:rPr>
        <w:drawing>
          <wp:inline distT="0" distB="0" distL="0" distR="0" wp14:anchorId="7A17D0A4" wp14:editId="69853801">
            <wp:extent cx="5274310" cy="3494405"/>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3494405"/>
                    </a:xfrm>
                    <a:prstGeom prst="rect">
                      <a:avLst/>
                    </a:prstGeom>
                    <a:noFill/>
                    <a:ln>
                      <a:noFill/>
                    </a:ln>
                  </pic:spPr>
                </pic:pic>
              </a:graphicData>
            </a:graphic>
          </wp:inline>
        </w:drawing>
      </w:r>
    </w:p>
    <w:p w14:paraId="7EBB752F" w14:textId="77777777" w:rsidR="00B67CB3" w:rsidRPr="00B67CB3" w:rsidRDefault="00B67CB3" w:rsidP="00B67CB3">
      <w:pPr>
        <w:widowControl/>
        <w:ind w:firstLine="480"/>
        <w:rPr>
          <w:rFonts w:ascii="宋体" w:eastAsia="宋体" w:hAnsi="宋体" w:cs="宋体"/>
          <w:kern w:val="0"/>
          <w:sz w:val="24"/>
          <w:szCs w:val="24"/>
        </w:rPr>
      </w:pPr>
      <w:r w:rsidRPr="00B67CB3">
        <w:rPr>
          <w:rFonts w:ascii="宋体" w:eastAsia="宋体" w:hAnsi="宋体" w:cs="宋体"/>
          <w:kern w:val="0"/>
          <w:sz w:val="24"/>
          <w:szCs w:val="24"/>
        </w:rPr>
        <w:t>埃克森美孚等美国石油公司在北美二叠纪盆地将“页岩革命”搞得如火如荼，BP加快在阿曼、里海地区、毛里塔尼亚和塞内加尔天然气项目的建设进度，但以上这些行动的影响力都无法与壳牌并购英国天然气公司（BG）相比。本文以壳牌并购BG为论述起点，重点分析壳牌从“石油天然气公司”向“天然气石油公司”转型的投资布局。</w:t>
      </w:r>
    </w:p>
    <w:p w14:paraId="788B8C20" w14:textId="77777777" w:rsidR="00B67CB3" w:rsidRPr="00B67CB3" w:rsidRDefault="00B67CB3" w:rsidP="00B67CB3">
      <w:pPr>
        <w:widowControl/>
        <w:rPr>
          <w:rFonts w:ascii="宋体" w:eastAsia="宋体" w:hAnsi="宋体" w:cs="宋体"/>
          <w:kern w:val="0"/>
          <w:sz w:val="24"/>
          <w:szCs w:val="24"/>
        </w:rPr>
      </w:pPr>
    </w:p>
    <w:p w14:paraId="1C8B91CD" w14:textId="77777777" w:rsidR="00B67CB3" w:rsidRPr="00B67CB3" w:rsidRDefault="00B67CB3" w:rsidP="00B67CB3">
      <w:pPr>
        <w:widowControl/>
        <w:rPr>
          <w:rFonts w:ascii="宋体" w:eastAsia="宋体" w:hAnsi="宋体" w:cs="宋体"/>
          <w:kern w:val="0"/>
          <w:sz w:val="24"/>
          <w:szCs w:val="24"/>
        </w:rPr>
      </w:pPr>
      <w:r w:rsidRPr="00B67CB3">
        <w:rPr>
          <w:rFonts w:ascii="宋体" w:eastAsia="宋体" w:hAnsi="宋体" w:cs="宋体"/>
          <w:kern w:val="0"/>
          <w:sz w:val="24"/>
          <w:szCs w:val="24"/>
        </w:rPr>
        <w:t>1</w:t>
      </w:r>
    </w:p>
    <w:p w14:paraId="316527C9" w14:textId="77777777" w:rsidR="00B67CB3" w:rsidRPr="00B67CB3" w:rsidRDefault="00B67CB3" w:rsidP="00B67CB3">
      <w:pPr>
        <w:widowControl/>
        <w:rPr>
          <w:rFonts w:ascii="宋体" w:eastAsia="宋体" w:hAnsi="宋体" w:cs="宋体"/>
          <w:kern w:val="0"/>
          <w:sz w:val="24"/>
          <w:szCs w:val="24"/>
        </w:rPr>
      </w:pPr>
      <w:r w:rsidRPr="00B67CB3">
        <w:rPr>
          <w:rFonts w:ascii="宋体" w:eastAsia="宋体" w:hAnsi="宋体" w:cs="宋体"/>
          <w:b/>
          <w:bCs/>
          <w:kern w:val="0"/>
          <w:sz w:val="24"/>
          <w:szCs w:val="24"/>
        </w:rPr>
        <w:t>壳牌产业投资的逻辑起点</w:t>
      </w:r>
    </w:p>
    <w:p w14:paraId="10B41A59" w14:textId="77777777" w:rsidR="00B67CB3" w:rsidRPr="00B67CB3" w:rsidRDefault="00B67CB3" w:rsidP="00B67CB3">
      <w:pPr>
        <w:widowControl/>
        <w:ind w:firstLine="480"/>
        <w:rPr>
          <w:rFonts w:ascii="宋体" w:eastAsia="宋体" w:hAnsi="宋体" w:cs="宋体"/>
          <w:kern w:val="0"/>
          <w:sz w:val="24"/>
          <w:szCs w:val="24"/>
        </w:rPr>
      </w:pPr>
      <w:r w:rsidRPr="00B67CB3">
        <w:rPr>
          <w:rFonts w:ascii="宋体" w:eastAsia="宋体" w:hAnsi="宋体" w:cs="宋体"/>
          <w:kern w:val="0"/>
          <w:sz w:val="23"/>
          <w:szCs w:val="23"/>
        </w:rPr>
        <w:t>为应对未来政治、经济、社会和环境等领域诸多不确定性，壳牌专门成立远景规划小组，制定不同的应对预案，指导壳牌在危机中更好地生存和发展。在壳牌远景规划小组2011年推出的研究报告《信号与路标：壳牌能源远景2050年》[1]序言</w:t>
      </w:r>
      <w:r w:rsidRPr="00B67CB3">
        <w:rPr>
          <w:rFonts w:ascii="宋体" w:eastAsia="宋体" w:hAnsi="宋体" w:cs="宋体"/>
          <w:kern w:val="0"/>
          <w:sz w:val="23"/>
          <w:szCs w:val="23"/>
        </w:rPr>
        <w:lastRenderedPageBreak/>
        <w:t>中，时任壳牌CEO彼得·沃塞尔（Peter Voser）坚定地认为，“天然气将做出越来越大的贡献”，目前这种清洁能源为人类发展“提供可承受的解决方案”。这是现阶段壳牌产业投资的逻辑起点。</w:t>
      </w:r>
    </w:p>
    <w:p w14:paraId="68637104" w14:textId="77777777" w:rsidR="00B67CB3" w:rsidRPr="00B67CB3" w:rsidRDefault="00B67CB3" w:rsidP="00B67CB3">
      <w:pPr>
        <w:widowControl/>
        <w:ind w:firstLine="480"/>
        <w:rPr>
          <w:rFonts w:ascii="宋体" w:eastAsia="宋体" w:hAnsi="宋体" w:cs="宋体"/>
          <w:kern w:val="0"/>
          <w:sz w:val="24"/>
          <w:szCs w:val="24"/>
        </w:rPr>
      </w:pPr>
      <w:r w:rsidRPr="00B67CB3">
        <w:rPr>
          <w:rFonts w:ascii="宋体" w:eastAsia="宋体" w:hAnsi="宋体" w:cs="宋体"/>
          <w:kern w:val="0"/>
          <w:sz w:val="23"/>
          <w:szCs w:val="23"/>
        </w:rPr>
        <w:t>目前全球油气行业还没有从2014年石油价格暴跌引发的危机中完全恢复，而壳牌在2016年2月完成对BG的并购开启了在能源体系低碳化发展趋势下的果断转型，对全球能源结构调整和油气产业投资布局产生深远影响，壳牌并购BG标志着“天然气时代”的序幕已经拉开。现任壳牌CEO、并购BG的主导人范博登（Ben van Beurden）表示，“与其说（壳牌）是一家石油公司，我们更像是一家天然气公司”。</w:t>
      </w:r>
    </w:p>
    <w:p w14:paraId="49F3987E" w14:textId="77777777" w:rsidR="00B67CB3" w:rsidRPr="00B67CB3" w:rsidRDefault="00B67CB3" w:rsidP="00B67CB3">
      <w:pPr>
        <w:widowControl/>
        <w:rPr>
          <w:rFonts w:ascii="宋体" w:eastAsia="宋体" w:hAnsi="宋体" w:cs="宋体"/>
          <w:kern w:val="0"/>
          <w:sz w:val="24"/>
          <w:szCs w:val="24"/>
        </w:rPr>
      </w:pPr>
    </w:p>
    <w:p w14:paraId="212E0526" w14:textId="77777777" w:rsidR="00B67CB3" w:rsidRPr="00B67CB3" w:rsidRDefault="00B67CB3" w:rsidP="00B67CB3">
      <w:pPr>
        <w:widowControl/>
        <w:rPr>
          <w:rFonts w:ascii="宋体" w:eastAsia="宋体" w:hAnsi="宋体" w:cs="宋体"/>
          <w:kern w:val="0"/>
          <w:sz w:val="24"/>
          <w:szCs w:val="24"/>
        </w:rPr>
      </w:pPr>
      <w:r w:rsidRPr="00B67CB3">
        <w:rPr>
          <w:rFonts w:ascii="宋体" w:eastAsia="宋体" w:hAnsi="宋体" w:cs="宋体"/>
          <w:kern w:val="0"/>
          <w:sz w:val="24"/>
          <w:szCs w:val="24"/>
        </w:rPr>
        <w:t>2</w:t>
      </w:r>
    </w:p>
    <w:p w14:paraId="7D884171" w14:textId="77777777" w:rsidR="00B67CB3" w:rsidRPr="00B67CB3" w:rsidRDefault="00B67CB3" w:rsidP="00B67CB3">
      <w:pPr>
        <w:widowControl/>
        <w:rPr>
          <w:rFonts w:ascii="宋体" w:eastAsia="宋体" w:hAnsi="宋体" w:cs="宋体"/>
          <w:kern w:val="0"/>
          <w:sz w:val="24"/>
          <w:szCs w:val="24"/>
        </w:rPr>
      </w:pPr>
      <w:r w:rsidRPr="00B67CB3">
        <w:rPr>
          <w:rFonts w:ascii="宋体" w:eastAsia="宋体" w:hAnsi="宋体" w:cs="宋体"/>
          <w:b/>
          <w:bCs/>
          <w:kern w:val="0"/>
          <w:sz w:val="24"/>
          <w:szCs w:val="24"/>
        </w:rPr>
        <w:t>壳牌转型期的投资分析</w:t>
      </w:r>
    </w:p>
    <w:p w14:paraId="3D04192A" w14:textId="26A42E6E" w:rsidR="00B67CB3" w:rsidRDefault="00B67CB3" w:rsidP="00B67CB3">
      <w:pPr>
        <w:widowControl/>
        <w:ind w:firstLine="480"/>
        <w:rPr>
          <w:rFonts w:ascii="宋体" w:eastAsia="宋体" w:hAnsi="宋体" w:cs="宋体"/>
          <w:kern w:val="0"/>
          <w:sz w:val="24"/>
          <w:szCs w:val="24"/>
        </w:rPr>
      </w:pPr>
      <w:r w:rsidRPr="00B67CB3">
        <w:rPr>
          <w:rFonts w:ascii="宋体" w:eastAsia="宋体" w:hAnsi="宋体" w:cs="宋体"/>
          <w:kern w:val="0"/>
          <w:sz w:val="24"/>
          <w:szCs w:val="24"/>
        </w:rPr>
        <w:t>壳牌的转型充分反映在近几年的投资布局中，尤其是在2014-2016年，壳牌进行了有计划、有准备的投资布局，2014年可以看成壳牌转型的关键一年。</w:t>
      </w:r>
    </w:p>
    <w:p w14:paraId="0395FD91" w14:textId="370089A0" w:rsidR="00B67CB3" w:rsidRPr="00B67CB3" w:rsidRDefault="00B67CB3" w:rsidP="00B67CB3">
      <w:pPr>
        <w:widowControl/>
        <w:ind w:firstLine="480"/>
        <w:rPr>
          <w:rFonts w:ascii="宋体" w:eastAsia="宋体" w:hAnsi="宋体" w:cs="宋体" w:hint="eastAsia"/>
          <w:kern w:val="0"/>
          <w:sz w:val="24"/>
          <w:szCs w:val="24"/>
        </w:rPr>
      </w:pPr>
      <w:r>
        <w:rPr>
          <w:noProof/>
        </w:rPr>
        <w:drawing>
          <wp:inline distT="0" distB="0" distL="0" distR="0" wp14:anchorId="195393F4" wp14:editId="16BE684C">
            <wp:extent cx="5274310" cy="3217545"/>
            <wp:effectExtent l="0" t="0" r="254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3217545"/>
                    </a:xfrm>
                    <a:prstGeom prst="rect">
                      <a:avLst/>
                    </a:prstGeom>
                    <a:noFill/>
                    <a:ln>
                      <a:noFill/>
                    </a:ln>
                  </pic:spPr>
                </pic:pic>
              </a:graphicData>
            </a:graphic>
          </wp:inline>
        </w:drawing>
      </w:r>
    </w:p>
    <w:p w14:paraId="61463B38" w14:textId="77777777" w:rsidR="00B67CB3" w:rsidRPr="00B67CB3" w:rsidRDefault="00B67CB3" w:rsidP="00B67CB3">
      <w:pPr>
        <w:widowControl/>
        <w:ind w:firstLine="480"/>
        <w:rPr>
          <w:rFonts w:ascii="宋体" w:eastAsia="宋体" w:hAnsi="宋体" w:cs="宋体"/>
          <w:kern w:val="0"/>
          <w:sz w:val="24"/>
          <w:szCs w:val="24"/>
        </w:rPr>
      </w:pPr>
      <w:r w:rsidRPr="00B67CB3">
        <w:rPr>
          <w:rFonts w:ascii="宋体" w:eastAsia="宋体" w:hAnsi="宋体" w:cs="宋体"/>
          <w:b/>
          <w:bCs/>
          <w:kern w:val="0"/>
          <w:sz w:val="24"/>
          <w:szCs w:val="24"/>
        </w:rPr>
        <w:t>1.“节流”与“开源”并举</w:t>
      </w:r>
    </w:p>
    <w:p w14:paraId="5E5AC0D0" w14:textId="77777777" w:rsidR="00B67CB3" w:rsidRPr="00B67CB3" w:rsidRDefault="00B67CB3" w:rsidP="00B67CB3">
      <w:pPr>
        <w:widowControl/>
        <w:ind w:firstLine="480"/>
        <w:rPr>
          <w:rFonts w:ascii="宋体" w:eastAsia="宋体" w:hAnsi="宋体" w:cs="宋体"/>
          <w:kern w:val="0"/>
          <w:sz w:val="24"/>
          <w:szCs w:val="24"/>
        </w:rPr>
      </w:pPr>
    </w:p>
    <w:p w14:paraId="5AA3D3DD" w14:textId="77777777" w:rsidR="00B67CB3" w:rsidRPr="00B67CB3" w:rsidRDefault="00B67CB3" w:rsidP="00B67CB3">
      <w:pPr>
        <w:widowControl/>
        <w:ind w:firstLine="480"/>
        <w:rPr>
          <w:rFonts w:ascii="宋体" w:eastAsia="宋体" w:hAnsi="宋体" w:cs="宋体"/>
          <w:kern w:val="0"/>
          <w:sz w:val="24"/>
          <w:szCs w:val="24"/>
        </w:rPr>
      </w:pPr>
      <w:r w:rsidRPr="00B67CB3">
        <w:rPr>
          <w:rFonts w:ascii="宋体" w:eastAsia="宋体" w:hAnsi="宋体" w:cs="宋体"/>
          <w:kern w:val="0"/>
          <w:sz w:val="24"/>
          <w:szCs w:val="24"/>
        </w:rPr>
        <w:t>壳牌2016年投资达799亿美元（见图二），其中与并购BG相关的投资为529亿美元，这一数字远远超过前四年任何单一年度的全年投资。为了并购BG，壳牌在2014年和2015年大幅削减投资，分别比前一年度下降70亿美元和85亿美元。壳牌2016年度报告披露，预计2017年投资额缩减到250亿美元，直到2020年壳牌每年投资额将保持在250-300亿美元之间。即使这一投资区间的上限，也大大低于2012-2015年期间的平均水平（368亿美元）。这些是壳牌的“节流”举措，主要是缓解并购BG带来的巨大现金流压力。</w:t>
      </w:r>
    </w:p>
    <w:p w14:paraId="5A039921" w14:textId="77777777" w:rsidR="00B67CB3" w:rsidRPr="00B67CB3" w:rsidRDefault="00B67CB3" w:rsidP="00B67CB3">
      <w:pPr>
        <w:widowControl/>
        <w:ind w:firstLine="480"/>
        <w:rPr>
          <w:rFonts w:ascii="宋体" w:eastAsia="宋体" w:hAnsi="宋体" w:cs="宋体"/>
          <w:kern w:val="0"/>
          <w:sz w:val="24"/>
          <w:szCs w:val="24"/>
        </w:rPr>
      </w:pPr>
      <w:r w:rsidRPr="00B67CB3">
        <w:rPr>
          <w:rFonts w:ascii="宋体" w:eastAsia="宋体" w:hAnsi="宋体" w:cs="宋体"/>
          <w:kern w:val="0"/>
          <w:sz w:val="24"/>
          <w:szCs w:val="24"/>
        </w:rPr>
        <w:t>除了2014年，壳牌的投资曲线与净投资曲线在2012-2016年期间基本吻合（见图二）。2014年壳牌进行大规模资产剥离，撤资额达150亿美元，这比2012-2016年期间的平均撤资水平（67.8亿美元）高出一倍多。这是壳牌的“开源”举措，通过资产剥离实现资金快速回流，净现金流量从2013年的400亿美元增</w:t>
      </w:r>
      <w:r w:rsidRPr="00B67CB3">
        <w:rPr>
          <w:rFonts w:ascii="宋体" w:eastAsia="宋体" w:hAnsi="宋体" w:cs="宋体"/>
          <w:kern w:val="0"/>
          <w:sz w:val="24"/>
          <w:szCs w:val="24"/>
        </w:rPr>
        <w:lastRenderedPageBreak/>
        <w:t>长到2014年的450亿美元。[1]充裕的现金流为壳牌在整体上改变投资布局奠定了坚实的基础，从而完成内部的业务结构调整和公司转型。</w:t>
      </w:r>
    </w:p>
    <w:p w14:paraId="57166AA4" w14:textId="77777777" w:rsidR="00B67CB3" w:rsidRPr="00B67CB3" w:rsidRDefault="00B67CB3" w:rsidP="00B67CB3">
      <w:pPr>
        <w:widowControl/>
        <w:ind w:firstLine="480"/>
        <w:rPr>
          <w:rFonts w:ascii="宋体" w:eastAsia="宋体" w:hAnsi="宋体" w:cs="宋体"/>
          <w:kern w:val="0"/>
          <w:sz w:val="24"/>
          <w:szCs w:val="24"/>
        </w:rPr>
      </w:pPr>
    </w:p>
    <w:p w14:paraId="120605C0" w14:textId="77777777" w:rsidR="00B67CB3" w:rsidRPr="00B67CB3" w:rsidRDefault="00B67CB3" w:rsidP="00B67CB3">
      <w:pPr>
        <w:widowControl/>
        <w:ind w:firstLine="480"/>
        <w:rPr>
          <w:rFonts w:ascii="宋体" w:eastAsia="宋体" w:hAnsi="宋体" w:cs="宋体"/>
          <w:kern w:val="0"/>
          <w:sz w:val="24"/>
          <w:szCs w:val="24"/>
        </w:rPr>
      </w:pPr>
      <w:r w:rsidRPr="00B67CB3">
        <w:rPr>
          <w:rFonts w:ascii="宋体" w:eastAsia="宋体" w:hAnsi="宋体" w:cs="宋体"/>
          <w:b/>
          <w:bCs/>
          <w:kern w:val="0"/>
          <w:sz w:val="24"/>
          <w:szCs w:val="24"/>
        </w:rPr>
        <w:t>2.关键的2014年：以退为进</w:t>
      </w:r>
    </w:p>
    <w:p w14:paraId="0C174702" w14:textId="77777777" w:rsidR="00B67CB3" w:rsidRPr="00B67CB3" w:rsidRDefault="00B67CB3" w:rsidP="00B67CB3">
      <w:pPr>
        <w:widowControl/>
        <w:ind w:firstLine="480"/>
        <w:rPr>
          <w:rFonts w:ascii="宋体" w:eastAsia="宋体" w:hAnsi="宋体" w:cs="宋体"/>
          <w:kern w:val="0"/>
          <w:sz w:val="24"/>
          <w:szCs w:val="24"/>
        </w:rPr>
      </w:pPr>
    </w:p>
    <w:p w14:paraId="740BCA4D" w14:textId="77777777" w:rsidR="00B67CB3" w:rsidRPr="00B67CB3" w:rsidRDefault="00B67CB3" w:rsidP="00B67CB3">
      <w:pPr>
        <w:widowControl/>
        <w:ind w:firstLine="480"/>
        <w:rPr>
          <w:rFonts w:ascii="宋体" w:eastAsia="宋体" w:hAnsi="宋体" w:cs="宋体"/>
          <w:kern w:val="0"/>
          <w:sz w:val="24"/>
          <w:szCs w:val="24"/>
        </w:rPr>
      </w:pPr>
      <w:r w:rsidRPr="00B67CB3">
        <w:rPr>
          <w:rFonts w:ascii="宋体" w:eastAsia="宋体" w:hAnsi="宋体" w:cs="宋体"/>
          <w:kern w:val="0"/>
          <w:sz w:val="24"/>
          <w:szCs w:val="24"/>
        </w:rPr>
        <w:t>2014年壳牌223亿美元的净投资额是近五年最低点。2014年壳牌上游板块[2]10个撤资项目（见表一）与下游板块3个撤资项目（见表二），共占年度总撤资额（150亿美元）90%，且大多数撤资发生在2014年上半年。壳牌将缺乏竞争力或不符合中长期战略目标的资产在2014年下半年油价暴跌之前卖出了较好的价钱。</w:t>
      </w:r>
    </w:p>
    <w:p w14:paraId="035CDD1E" w14:textId="0CAAFDE9" w:rsidR="00B67CB3" w:rsidRPr="00B67CB3" w:rsidRDefault="00B67CB3" w:rsidP="00B67CB3">
      <w:pPr>
        <w:widowControl/>
        <w:rPr>
          <w:rFonts w:ascii="宋体" w:eastAsia="宋体" w:hAnsi="宋体" w:cs="宋体"/>
          <w:kern w:val="0"/>
          <w:sz w:val="24"/>
          <w:szCs w:val="24"/>
        </w:rPr>
      </w:pPr>
      <w:r w:rsidRPr="00B67CB3">
        <w:rPr>
          <w:rFonts w:ascii="宋体" w:eastAsia="宋体" w:hAnsi="宋体" w:cs="宋体"/>
          <w:noProof/>
          <w:kern w:val="0"/>
          <w:sz w:val="24"/>
          <w:szCs w:val="24"/>
        </w:rPr>
        <w:drawing>
          <wp:inline distT="0" distB="0" distL="0" distR="0" wp14:anchorId="352A5F06" wp14:editId="48C6C61C">
            <wp:extent cx="5219700" cy="40462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19700" cy="4046220"/>
                    </a:xfrm>
                    <a:prstGeom prst="rect">
                      <a:avLst/>
                    </a:prstGeom>
                    <a:noFill/>
                    <a:ln>
                      <a:noFill/>
                    </a:ln>
                  </pic:spPr>
                </pic:pic>
              </a:graphicData>
            </a:graphic>
          </wp:inline>
        </w:drawing>
      </w:r>
    </w:p>
    <w:p w14:paraId="1C9B862B" w14:textId="77777777" w:rsidR="00B67CB3" w:rsidRPr="00B67CB3" w:rsidRDefault="00B67CB3" w:rsidP="00B67CB3">
      <w:pPr>
        <w:widowControl/>
        <w:ind w:firstLine="480"/>
        <w:rPr>
          <w:rFonts w:ascii="宋体" w:eastAsia="宋体" w:hAnsi="宋体" w:cs="宋体"/>
          <w:kern w:val="0"/>
          <w:sz w:val="24"/>
          <w:szCs w:val="24"/>
        </w:rPr>
      </w:pPr>
      <w:r w:rsidRPr="00B67CB3">
        <w:rPr>
          <w:rFonts w:ascii="宋体" w:eastAsia="宋体" w:hAnsi="宋体" w:cs="宋体"/>
          <w:kern w:val="0"/>
          <w:sz w:val="23"/>
          <w:szCs w:val="23"/>
        </w:rPr>
        <w:t> 在上游板块，壳牌通过出售股份套现约63亿美元，通过出售北美地区致密油气、油砂等非常规油气资产变现约36亿美元，占2014年总撤资额的66%。</w:t>
      </w:r>
    </w:p>
    <w:p w14:paraId="1576D0ED" w14:textId="4EA0279C" w:rsidR="00B67CB3" w:rsidRPr="00B67CB3" w:rsidRDefault="00B67CB3" w:rsidP="00B67CB3">
      <w:pPr>
        <w:widowControl/>
        <w:rPr>
          <w:rFonts w:ascii="宋体" w:eastAsia="宋体" w:hAnsi="宋体" w:cs="宋体"/>
          <w:kern w:val="0"/>
          <w:sz w:val="24"/>
          <w:szCs w:val="24"/>
        </w:rPr>
      </w:pPr>
      <w:r w:rsidRPr="00B67CB3">
        <w:rPr>
          <w:rFonts w:ascii="宋体" w:eastAsia="宋体" w:hAnsi="宋体" w:cs="宋体"/>
          <w:noProof/>
          <w:kern w:val="0"/>
          <w:sz w:val="24"/>
          <w:szCs w:val="24"/>
        </w:rPr>
        <mc:AlternateContent>
          <mc:Choice Requires="wps">
            <w:drawing>
              <wp:inline distT="0" distB="0" distL="0" distR="0" wp14:anchorId="358C4B7D" wp14:editId="76AF2324">
                <wp:extent cx="304800" cy="304800"/>
                <wp:effectExtent l="0" t="0" r="0" b="0"/>
                <wp:docPr id="1"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972F11" id="矩形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EOa88HxAQAAwQMAAA4AAAAAAAAAAAAAAAAALgIAAGRycy9lMm9Eb2Mu&#10;eG1sUEsBAi0AFAAGAAgAAAAhAEyg6SzYAAAAAwEAAA8AAAAAAAAAAAAAAAAASwQAAGRycy9kb3du&#10;cmV2LnhtbFBLBQYAAAAABAAEAPMAAABQBQAAAAA=&#10;" filled="f" stroked="f">
                <o:lock v:ext="edit" aspectratio="t"/>
                <w10:anchorlock/>
              </v:rect>
            </w:pict>
          </mc:Fallback>
        </mc:AlternateContent>
      </w:r>
      <w:r>
        <w:rPr>
          <w:noProof/>
        </w:rPr>
        <w:drawing>
          <wp:inline distT="0" distB="0" distL="0" distR="0" wp14:anchorId="22C17200" wp14:editId="33974E35">
            <wp:extent cx="5143500" cy="173736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500" cy="1737360"/>
                    </a:xfrm>
                    <a:prstGeom prst="rect">
                      <a:avLst/>
                    </a:prstGeom>
                    <a:noFill/>
                    <a:ln>
                      <a:noFill/>
                    </a:ln>
                  </pic:spPr>
                </pic:pic>
              </a:graphicData>
            </a:graphic>
          </wp:inline>
        </w:drawing>
      </w:r>
      <w:bookmarkStart w:id="0" w:name="_GoBack"/>
      <w:bookmarkEnd w:id="0"/>
    </w:p>
    <w:p w14:paraId="0A39DB82" w14:textId="77777777" w:rsidR="00B67CB3" w:rsidRPr="00B67CB3" w:rsidRDefault="00B67CB3" w:rsidP="00B67CB3">
      <w:pPr>
        <w:widowControl/>
        <w:ind w:firstLine="480"/>
        <w:rPr>
          <w:rFonts w:ascii="宋体" w:eastAsia="宋体" w:hAnsi="宋体" w:cs="宋体"/>
          <w:kern w:val="0"/>
          <w:sz w:val="24"/>
          <w:szCs w:val="24"/>
        </w:rPr>
      </w:pPr>
      <w:r w:rsidRPr="00B67CB3">
        <w:rPr>
          <w:rFonts w:ascii="宋体" w:eastAsia="宋体" w:hAnsi="宋体" w:cs="宋体"/>
          <w:kern w:val="0"/>
          <w:sz w:val="23"/>
          <w:szCs w:val="23"/>
        </w:rPr>
        <w:lastRenderedPageBreak/>
        <w:t>在澳大利亚，壳牌从上游板块和下游板块总共撤资约71亿美元，占2014年总撤资额的47%。而壳牌通过并购BG获得澳大利亚昆士兰柯蒂斯液化天然气项目（QCLNG），该项目是BG最重要的LNG项目之一，也是壳牌垂涎已久的天然气资产。QCLNG拥有全球首个将煤层气直接转变成LNG并用于出口的设备，其中包括两辆天然气液化列车，每辆车运输能力为425万吨/年，总承载量为850万吨/年。[1]与北美、中东、东非的天然气出口基地相比，澳大利亚在地理上更接近LNG消费大国中国、日本和韩国。2016年4月，澳大利亚总理特恩布尔在第18届国际液化天然气大会上表示：预计到2020年澳大利亚出口天然气将达到8600万吨，LNG将成为澳大利亚仅次于铁矿石的第二大出口商品。[2]2014-2016年，壳牌在澳大利亚“以退为进”的投资布局完成了一个循环：剥离部分资产套现——并购BG——获得QCLNG项目资产。与此相同，壳牌在2014年剥离巴西上游资产约14亿美元，之后通过并购BG获得巴西桑托斯盆地重要的深海油气资产，进一步扩大优质的深海油气储量。</w:t>
      </w:r>
    </w:p>
    <w:p w14:paraId="68A6C1AC" w14:textId="77777777" w:rsidR="00B67CB3" w:rsidRPr="00B67CB3" w:rsidRDefault="00B67CB3" w:rsidP="00B67CB3">
      <w:pPr>
        <w:widowControl/>
        <w:ind w:firstLine="480"/>
        <w:rPr>
          <w:rFonts w:ascii="宋体" w:eastAsia="宋体" w:hAnsi="宋体" w:cs="宋体"/>
          <w:kern w:val="0"/>
          <w:sz w:val="24"/>
          <w:szCs w:val="24"/>
        </w:rPr>
      </w:pPr>
      <w:r w:rsidRPr="00B67CB3">
        <w:rPr>
          <w:rFonts w:ascii="宋体" w:eastAsia="宋体" w:hAnsi="宋体" w:cs="宋体"/>
          <w:kern w:val="0"/>
          <w:sz w:val="23"/>
          <w:szCs w:val="23"/>
        </w:rPr>
        <w:t>“开源节流”和“以退为进”的投资部署，帮助壳牌重新调整全球资产布局，推动业务结构转变和公司转型。并购BG后，壳牌2016年日产量达到370万桶油当量，比2015年增长23%，营业收入达到480亿美元，比2015年增长118%。</w:t>
      </w:r>
    </w:p>
    <w:p w14:paraId="6060CD35" w14:textId="77777777" w:rsidR="00B67CB3" w:rsidRPr="00B67CB3" w:rsidRDefault="00B67CB3" w:rsidP="00B67CB3">
      <w:pPr>
        <w:widowControl/>
        <w:rPr>
          <w:rFonts w:ascii="宋体" w:eastAsia="宋体" w:hAnsi="宋体" w:cs="宋体"/>
          <w:kern w:val="0"/>
          <w:sz w:val="24"/>
          <w:szCs w:val="24"/>
        </w:rPr>
      </w:pPr>
    </w:p>
    <w:p w14:paraId="7CAD4F67" w14:textId="77777777" w:rsidR="00B67CB3" w:rsidRPr="00B67CB3" w:rsidRDefault="00B67CB3" w:rsidP="00B67CB3">
      <w:pPr>
        <w:widowControl/>
        <w:rPr>
          <w:rFonts w:ascii="宋体" w:eastAsia="宋体" w:hAnsi="宋体" w:cs="宋体"/>
          <w:kern w:val="0"/>
          <w:sz w:val="24"/>
          <w:szCs w:val="24"/>
        </w:rPr>
      </w:pPr>
      <w:r w:rsidRPr="00B67CB3">
        <w:rPr>
          <w:rFonts w:ascii="宋体" w:eastAsia="宋体" w:hAnsi="宋体" w:cs="宋体"/>
          <w:kern w:val="0"/>
          <w:sz w:val="24"/>
          <w:szCs w:val="24"/>
        </w:rPr>
        <w:t>3</w:t>
      </w:r>
    </w:p>
    <w:p w14:paraId="1FCC2ADD" w14:textId="77777777" w:rsidR="00B67CB3" w:rsidRPr="00B67CB3" w:rsidRDefault="00B67CB3" w:rsidP="00B67CB3">
      <w:pPr>
        <w:widowControl/>
        <w:rPr>
          <w:rFonts w:ascii="宋体" w:eastAsia="宋体" w:hAnsi="宋体" w:cs="宋体"/>
          <w:kern w:val="0"/>
          <w:sz w:val="24"/>
          <w:szCs w:val="24"/>
        </w:rPr>
      </w:pPr>
      <w:r w:rsidRPr="00B67CB3">
        <w:rPr>
          <w:rFonts w:ascii="宋体" w:eastAsia="宋体" w:hAnsi="宋体" w:cs="宋体"/>
          <w:b/>
          <w:bCs/>
          <w:kern w:val="0"/>
          <w:sz w:val="24"/>
          <w:szCs w:val="24"/>
        </w:rPr>
        <w:t>附录</w:t>
      </w:r>
    </w:p>
    <w:p w14:paraId="76953148" w14:textId="77777777" w:rsidR="00B67CB3" w:rsidRPr="00B67CB3" w:rsidRDefault="00B67CB3" w:rsidP="00B67CB3">
      <w:pPr>
        <w:widowControl/>
        <w:shd w:val="clear" w:color="auto" w:fill="FFFFFF"/>
        <w:ind w:firstLine="480"/>
        <w:rPr>
          <w:rFonts w:ascii="Microsoft YaHei UI" w:eastAsia="Microsoft YaHei UI" w:hAnsi="Microsoft YaHei UI" w:cs="宋体"/>
          <w:color w:val="333333"/>
          <w:spacing w:val="8"/>
          <w:kern w:val="0"/>
          <w:sz w:val="26"/>
          <w:szCs w:val="26"/>
        </w:rPr>
      </w:pPr>
      <w:r w:rsidRPr="00B67CB3">
        <w:rPr>
          <w:rFonts w:ascii="Microsoft YaHei UI" w:eastAsia="Microsoft YaHei UI" w:hAnsi="Microsoft YaHei UI" w:cs="宋体" w:hint="eastAsia"/>
          <w:color w:val="333333"/>
          <w:spacing w:val="8"/>
          <w:kern w:val="0"/>
          <w:sz w:val="23"/>
          <w:szCs w:val="23"/>
        </w:rPr>
        <w:t>壳牌综合气体板块：管理液化天然气（LNG）和天然气制油（GTL）产生的燃料、化工产品以及新能源的产品组合；从事的生产经营活动包括天然气勘探和开采，运营上游和中游的基础设施以将天然气投放到市场；经营和销售天然气、LNG、GTL、电力和碳排放权等。</w:t>
      </w:r>
    </w:p>
    <w:p w14:paraId="54907E8E" w14:textId="77777777" w:rsidR="00B67CB3" w:rsidRPr="00B67CB3" w:rsidRDefault="00B67CB3" w:rsidP="00B67CB3">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B67CB3">
        <w:rPr>
          <w:rFonts w:ascii="Microsoft YaHei UI" w:eastAsia="Microsoft YaHei UI" w:hAnsi="Microsoft YaHei UI" w:cs="宋体" w:hint="eastAsia"/>
          <w:color w:val="333333"/>
          <w:spacing w:val="8"/>
          <w:kern w:val="0"/>
          <w:sz w:val="23"/>
          <w:szCs w:val="23"/>
        </w:rPr>
        <w:t>壳牌上游板块：勘探和开发石油、天然气液；销售和运输油气，运营基础设施将油气资源运往市场；从油砂中提取沥青并将其转化为合成原油。</w:t>
      </w:r>
    </w:p>
    <w:p w14:paraId="465400E7" w14:textId="77777777" w:rsidR="00B67CB3" w:rsidRPr="00B67CB3" w:rsidRDefault="00B67CB3" w:rsidP="00B67CB3">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B67CB3">
        <w:rPr>
          <w:rFonts w:ascii="Microsoft YaHei UI" w:eastAsia="Microsoft YaHei UI" w:hAnsi="Microsoft YaHei UI" w:cs="宋体" w:hint="eastAsia"/>
          <w:color w:val="333333"/>
          <w:spacing w:val="8"/>
          <w:kern w:val="0"/>
          <w:sz w:val="23"/>
          <w:szCs w:val="23"/>
        </w:rPr>
        <w:t>壳牌下游板块：由多个不同的石油化工和化学工业业务组成，包括贸易在内的综合价值链的经营活动；对原油、天然气和其他原料进行加工提炼，将产品在世界各地进行配送和销售；销售产品包括汽油、柴油、采暖油</w:t>
      </w:r>
    </w:p>
    <w:p w14:paraId="4CCEF567" w14:textId="77777777" w:rsidR="006666D8" w:rsidRPr="00B67CB3" w:rsidRDefault="006666D8" w:rsidP="00B67CB3"/>
    <w:sectPr w:rsidR="006666D8" w:rsidRPr="00B67C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B87"/>
    <w:rsid w:val="006666D8"/>
    <w:rsid w:val="00A80B87"/>
    <w:rsid w:val="00B67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27580"/>
  <w15:chartTrackingRefBased/>
  <w15:docId w15:val="{66CD1DAC-7C9C-4437-95B3-8176FBC20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B67CB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B67CB3"/>
    <w:rPr>
      <w:rFonts w:ascii="宋体" w:eastAsia="宋体" w:hAnsi="宋体" w:cs="宋体"/>
      <w:b/>
      <w:bCs/>
      <w:kern w:val="0"/>
      <w:sz w:val="36"/>
      <w:szCs w:val="36"/>
    </w:rPr>
  </w:style>
  <w:style w:type="paragraph" w:styleId="a3">
    <w:name w:val="Normal (Web)"/>
    <w:basedOn w:val="a"/>
    <w:uiPriority w:val="99"/>
    <w:semiHidden/>
    <w:unhideWhenUsed/>
    <w:rsid w:val="00B67CB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67C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446374">
      <w:bodyDiv w:val="1"/>
      <w:marLeft w:val="0"/>
      <w:marRight w:val="0"/>
      <w:marTop w:val="0"/>
      <w:marBottom w:val="0"/>
      <w:divBdr>
        <w:top w:val="none" w:sz="0" w:space="0" w:color="auto"/>
        <w:left w:val="none" w:sz="0" w:space="0" w:color="auto"/>
        <w:bottom w:val="none" w:sz="0" w:space="0" w:color="auto"/>
        <w:right w:val="none" w:sz="0" w:space="0" w:color="auto"/>
      </w:divBdr>
    </w:div>
    <w:div w:id="134960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2151</Characters>
  <Application>Microsoft Office Word</Application>
  <DocSecurity>0</DocSecurity>
  <Lines>17</Lines>
  <Paragraphs>5</Paragraphs>
  <ScaleCrop>false</ScaleCrop>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3</cp:revision>
  <dcterms:created xsi:type="dcterms:W3CDTF">2020-01-14T03:06:00Z</dcterms:created>
  <dcterms:modified xsi:type="dcterms:W3CDTF">2020-01-14T03:08:00Z</dcterms:modified>
</cp:coreProperties>
</file>