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36163" w14:textId="77777777" w:rsidR="00A038C1" w:rsidRPr="00A038C1" w:rsidRDefault="00A038C1" w:rsidP="00A038C1">
      <w:pPr>
        <w:widowControl/>
        <w:shd w:val="clear" w:color="auto" w:fill="FFFFFF"/>
        <w:spacing w:after="210"/>
        <w:jc w:val="left"/>
        <w:outlineLvl w:val="1"/>
        <w:rPr>
          <w:rFonts w:ascii="宋体" w:eastAsia="宋体" w:hAnsi="宋体" w:cs="宋体"/>
          <w:color w:val="333333"/>
          <w:spacing w:val="8"/>
          <w:kern w:val="0"/>
          <w:sz w:val="44"/>
          <w:szCs w:val="44"/>
        </w:rPr>
      </w:pPr>
      <w:r w:rsidRPr="00A038C1">
        <w:rPr>
          <w:rFonts w:ascii="宋体" w:eastAsia="宋体" w:hAnsi="宋体" w:cs="宋体" w:hint="eastAsia"/>
          <w:color w:val="333333"/>
          <w:spacing w:val="8"/>
          <w:kern w:val="0"/>
          <w:sz w:val="44"/>
          <w:szCs w:val="44"/>
        </w:rPr>
        <w:t>【石油观察家】中国进口天然气能源投资回报分析</w:t>
      </w:r>
    </w:p>
    <w:p w14:paraId="247DC96A" w14:textId="77777777" w:rsidR="00A038C1" w:rsidRPr="00A038C1" w:rsidRDefault="00A038C1" w:rsidP="00A038C1">
      <w:pPr>
        <w:pStyle w:val="a3"/>
        <w:shd w:val="clear" w:color="auto" w:fill="FFFFFF"/>
        <w:spacing w:before="0" w:beforeAutospacing="0" w:after="0" w:afterAutospacing="0" w:line="420" w:lineRule="atLeast"/>
        <w:jc w:val="both"/>
        <w:rPr>
          <w:color w:val="333333"/>
          <w:spacing w:val="8"/>
        </w:rPr>
      </w:pPr>
      <w:r w:rsidRPr="00A038C1">
        <w:rPr>
          <w:rStyle w:val="a4"/>
          <w:rFonts w:hint="eastAsia"/>
          <w:color w:val="333333"/>
          <w:spacing w:val="8"/>
        </w:rPr>
        <w:t>文|程承</w:t>
      </w:r>
      <w:r w:rsidRPr="00A038C1">
        <w:rPr>
          <w:rStyle w:val="a4"/>
          <w:rFonts w:hint="eastAsia"/>
          <w:color w:val="333333"/>
          <w:spacing w:val="8"/>
          <w:vertAlign w:val="superscript"/>
        </w:rPr>
        <w:t>１</w:t>
      </w:r>
      <w:r w:rsidRPr="00A038C1">
        <w:rPr>
          <w:rStyle w:val="a4"/>
          <w:rFonts w:hint="eastAsia"/>
          <w:color w:val="333333"/>
          <w:spacing w:val="8"/>
        </w:rPr>
        <w:t>，王震</w:t>
      </w:r>
      <w:r w:rsidRPr="00A038C1">
        <w:rPr>
          <w:rStyle w:val="a4"/>
          <w:rFonts w:hint="eastAsia"/>
          <w:color w:val="333333"/>
          <w:spacing w:val="8"/>
          <w:vertAlign w:val="superscript"/>
        </w:rPr>
        <w:t>１</w:t>
      </w:r>
      <w:r w:rsidRPr="00A038C1">
        <w:rPr>
          <w:rStyle w:val="a4"/>
          <w:rFonts w:hint="eastAsia"/>
          <w:color w:val="333333"/>
          <w:spacing w:val="8"/>
        </w:rPr>
        <w:t>，丛威</w:t>
      </w:r>
      <w:r w:rsidRPr="00A038C1">
        <w:rPr>
          <w:rStyle w:val="a4"/>
          <w:rFonts w:hint="eastAsia"/>
          <w:color w:val="333333"/>
          <w:spacing w:val="8"/>
          <w:vertAlign w:val="superscript"/>
        </w:rPr>
        <w:t>２</w:t>
      </w:r>
      <w:r w:rsidRPr="00A038C1">
        <w:rPr>
          <w:rStyle w:val="a4"/>
          <w:rFonts w:hint="eastAsia"/>
          <w:color w:val="333333"/>
          <w:spacing w:val="8"/>
        </w:rPr>
        <w:t>，刘明明</w:t>
      </w:r>
      <w:r w:rsidRPr="00A038C1">
        <w:rPr>
          <w:rStyle w:val="a4"/>
          <w:rFonts w:hint="eastAsia"/>
          <w:color w:val="333333"/>
          <w:spacing w:val="8"/>
          <w:vertAlign w:val="superscript"/>
        </w:rPr>
        <w:t>１</w:t>
      </w:r>
      <w:r w:rsidRPr="00A038C1">
        <w:rPr>
          <w:rStyle w:val="a4"/>
          <w:rFonts w:hint="eastAsia"/>
          <w:color w:val="333333"/>
          <w:spacing w:val="8"/>
        </w:rPr>
        <w:t>，孔朝阳</w:t>
      </w:r>
      <w:r w:rsidRPr="00A038C1">
        <w:rPr>
          <w:rStyle w:val="a4"/>
          <w:rFonts w:hint="eastAsia"/>
          <w:color w:val="333333"/>
          <w:spacing w:val="8"/>
          <w:vertAlign w:val="superscript"/>
        </w:rPr>
        <w:t>３</w:t>
      </w:r>
    </w:p>
    <w:p w14:paraId="08A4A40E" w14:textId="77777777" w:rsidR="00A038C1" w:rsidRPr="00A038C1" w:rsidRDefault="00A038C1" w:rsidP="00A038C1">
      <w:pPr>
        <w:pStyle w:val="a3"/>
        <w:shd w:val="clear" w:color="auto" w:fill="FFFFFF"/>
        <w:spacing w:before="0" w:beforeAutospacing="0" w:after="0" w:afterAutospacing="0" w:line="383" w:lineRule="atLeast"/>
        <w:jc w:val="both"/>
        <w:rPr>
          <w:rFonts w:hint="eastAsia"/>
          <w:color w:val="333333"/>
          <w:spacing w:val="8"/>
        </w:rPr>
      </w:pPr>
    </w:p>
    <w:p w14:paraId="2F365792"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4"/>
          <w:rFonts w:hint="eastAsia"/>
          <w:color w:val="333333"/>
          <w:spacing w:val="8"/>
        </w:rPr>
        <w:t>1.中国石油大学（北京）中国能源战略研究院；2.全球能源互联网发展合作组织；3.中国石油大学（北京）工商管理学院</w:t>
      </w:r>
    </w:p>
    <w:p w14:paraId="52CA5581"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Fonts w:hint="eastAsia"/>
          <w:color w:val="333333"/>
          <w:spacing w:val="8"/>
        </w:rPr>
        <w:t> </w:t>
      </w:r>
    </w:p>
    <w:p w14:paraId="373F0B0F"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5"/>
          <w:rFonts w:hint="eastAsia"/>
          <w:b/>
          <w:bCs/>
          <w:color w:val="C00000"/>
          <w:spacing w:val="8"/>
        </w:rPr>
        <w:t>摘要：</w:t>
      </w:r>
      <w:bookmarkStart w:id="0" w:name="_GoBack"/>
      <w:r w:rsidRPr="00A038C1">
        <w:rPr>
          <w:rStyle w:val="a5"/>
          <w:rFonts w:hint="eastAsia"/>
          <w:color w:val="C00000"/>
          <w:spacing w:val="8"/>
        </w:rPr>
        <w:t>中国天然气消费需求增速迅猛，由此引致中国天然气进口量不断提高，且未来仍有继续增长的趋势。在此形势下，从能源投入和产出角度分析中国进口天然气的能源投资回报具有重要的理论价值和现实意义。本文以中国进口天然气和各个进口国为研究对象，首先测算了中国进口天然气的能源投资回报时间序列值，分析了形成这种变化趋势的主要原因，然后分别测算了各个进口国的能源投资回报时间序列，并进行了对比分析。此外，本文还通过对比考虑环境投入和不考虑环境投入两种情景下的能源投资回报，分析了温室气体（主要包括CO</w:t>
      </w:r>
      <w:r w:rsidRPr="00A038C1">
        <w:rPr>
          <w:rStyle w:val="a5"/>
          <w:rFonts w:hint="eastAsia"/>
          <w:color w:val="C00000"/>
          <w:spacing w:val="8"/>
          <w:vertAlign w:val="subscript"/>
        </w:rPr>
        <w:t>2</w:t>
      </w:r>
      <w:r w:rsidRPr="00A038C1">
        <w:rPr>
          <w:rStyle w:val="a5"/>
          <w:rFonts w:hint="eastAsia"/>
          <w:color w:val="C00000"/>
          <w:spacing w:val="8"/>
        </w:rPr>
        <w:t>，CH</w:t>
      </w:r>
      <w:r w:rsidRPr="00A038C1">
        <w:rPr>
          <w:rStyle w:val="a5"/>
          <w:rFonts w:hint="eastAsia"/>
          <w:color w:val="C00000"/>
          <w:spacing w:val="8"/>
          <w:vertAlign w:val="subscript"/>
        </w:rPr>
        <w:t>4</w:t>
      </w:r>
      <w:r w:rsidRPr="00A038C1">
        <w:rPr>
          <w:rStyle w:val="a5"/>
          <w:rFonts w:hint="eastAsia"/>
          <w:color w:val="C00000"/>
          <w:spacing w:val="8"/>
        </w:rPr>
        <w:t>和NO</w:t>
      </w:r>
      <w:r w:rsidRPr="00A038C1">
        <w:rPr>
          <w:rStyle w:val="a5"/>
          <w:rFonts w:hint="eastAsia"/>
          <w:color w:val="C00000"/>
          <w:spacing w:val="8"/>
          <w:vertAlign w:val="subscript"/>
        </w:rPr>
        <w:t>X</w:t>
      </w:r>
      <w:r w:rsidRPr="00A038C1">
        <w:rPr>
          <w:rStyle w:val="a5"/>
          <w:rFonts w:hint="eastAsia"/>
          <w:color w:val="C00000"/>
          <w:spacing w:val="8"/>
        </w:rPr>
        <w:t>）排放对能源投资回报的影响。研究结果表明从能源投入产出效益角度分析，中国进口天然气具有可行性。就进口方式而言，管道气的能源投资回报更高；就进口来源而言，哈萨克斯坦、澳大利亚、印度尼西亚、乌兹别克斯坦等国具有很高的能源投资回报。论文的研究结论为推动进口天然气发展的政策制定提供了理论支持。</w:t>
      </w:r>
    </w:p>
    <w:bookmarkEnd w:id="0"/>
    <w:p w14:paraId="08980616"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Fonts w:hint="eastAsia"/>
          <w:color w:val="333333"/>
          <w:spacing w:val="8"/>
        </w:rPr>
        <w:t> </w:t>
      </w:r>
    </w:p>
    <w:p w14:paraId="4B2E1FFB"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天然气是一种重要的能源，用途广泛。首先，它是支撑国民经济发展的重要支柱之一，既可用作化工原料生产化学制品，也可用于发电、交通运输、油气开采和炼化等。其次，它作为燃气广泛地应用于居民日常生活。此外，天然气还具备单位热值高和温室气体排放低等特点，将在中国能源清洁低碳化利用过程中发挥重要的桥梁作用。随着中国经济持续、快速、稳定增长，以及中国政府对清洁能源的愈发重视，中国的天然气消费量增速迅猛，近十年来天然气消费量年均增速达15.3%。中国天然气消费总量也于2013年跃居世界第三，2015年天然气消费量更达1973亿m</w:t>
      </w:r>
      <w:r w:rsidRPr="00A038C1">
        <w:rPr>
          <w:rFonts w:hint="eastAsia"/>
          <w:color w:val="333333"/>
          <w:spacing w:val="8"/>
          <w:vertAlign w:val="superscript"/>
        </w:rPr>
        <w:t>3</w:t>
      </w:r>
      <w:r w:rsidRPr="00A038C1">
        <w:rPr>
          <w:rFonts w:hint="eastAsia"/>
          <w:color w:val="333333"/>
          <w:spacing w:val="8"/>
        </w:rPr>
        <w:t>，是2006年消费量的三倍有余。中国国内天然气产量已无法满足急速增长的消费需求，因而中国分别从2006年和2010年开始进口液化天然气（LNG）和管道气（PG），且进口量不断增长。据BP预测，2035年中国天然气进口量将达2540亿m</w:t>
      </w:r>
      <w:r w:rsidRPr="00A038C1">
        <w:rPr>
          <w:rFonts w:hint="eastAsia"/>
          <w:color w:val="333333"/>
          <w:spacing w:val="8"/>
          <w:vertAlign w:val="superscript"/>
        </w:rPr>
        <w:t>3</w:t>
      </w:r>
      <w:r w:rsidRPr="00A038C1">
        <w:rPr>
          <w:rFonts w:hint="eastAsia"/>
          <w:color w:val="333333"/>
          <w:spacing w:val="8"/>
        </w:rPr>
        <w:t>。在</w:t>
      </w:r>
      <w:r w:rsidRPr="00A038C1">
        <w:rPr>
          <w:rFonts w:hint="eastAsia"/>
          <w:color w:val="333333"/>
          <w:spacing w:val="8"/>
        </w:rPr>
        <w:lastRenderedPageBreak/>
        <w:t>天然气需大量进口的背景下，采用能源投资回报分析（</w:t>
      </w:r>
      <w:proofErr w:type="spellStart"/>
      <w:r w:rsidRPr="00A038C1">
        <w:rPr>
          <w:rFonts w:hint="eastAsia"/>
          <w:color w:val="333333"/>
          <w:spacing w:val="8"/>
        </w:rPr>
        <w:t>energyreturn</w:t>
      </w:r>
      <w:proofErr w:type="spellEnd"/>
      <w:r w:rsidRPr="00A038C1">
        <w:rPr>
          <w:rFonts w:hint="eastAsia"/>
          <w:color w:val="333333"/>
          <w:spacing w:val="8"/>
        </w:rPr>
        <w:t xml:space="preserve"> on investment，EROI）方法，从能源投入和产出角度对中国进口天然气进行研究意义重大，既可作为经济分析的辅助工具，从物质角度分析进口天然气的效益，也可对比不同进口国的能源投资回报，为优化进口结构提供决策依据。</w:t>
      </w:r>
    </w:p>
    <w:p w14:paraId="438DBD8B"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EROI用于测算能源生产或利用过程中单位能源投入所带来的能源产出。不同于净现值、内部收益率等经济分析方法，EROI是从物质角度分析能源投入产出效率。EROI的概念起源于生态学，1972年Hall在研究鱼类迁徙活动时提出了EROI方法的雏形[5]。随后，Hall和Cleveland、Cleveland等将EROI方法引入能源领域。起初EROI方法并未受到过多关注，但随着人们对能源投入产出效率愈发重视，与EROI方法相关的研究如雨后春笋一般涌现。但不同研究测算EROI时所选定的标准不一，研究结果很难横向对比，为此，Murphy等提出了测算EROI的范式，并界定了不同类型EROI的系统边界。本文将采用Murphy等提出的EROI范式测算中国进口天然气的能源投资回报。</w:t>
      </w:r>
    </w:p>
    <w:p w14:paraId="2FAD63C6"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EROI在能源中的应用集中于三个领域：①测算不同能源的EROI值；②对比技术和消耗在同一能源利用过程中的影响程度；③研究经济和EROI之间关系。学者已经利用EROI方法测算了原油、天然气、煤炭、油砂、页岩油、核能、风能、光伏、水力、地热、潮汐能、乙醇等能源生产活动中的投入产出效益。然而，之前的文献很少关注温室气体排放对EROI的影响。因而，本文将以中国进口天然气为主要研究对象，首先利用行业数据测算中国进口天然气的EROI时间序列值，分析造成这种趋势的原因；随后以中国的天然气进口来源国为研究对象，对比不同进口来源的EROI值，为优化进口结构提供决策依据。在分析过程中，本文将计算标准的EROI（EROIIG ）和考虑环境因素的EROI（EROIIG，ENV），以便研究环境因素对进口天然气EROI的影响。</w:t>
      </w:r>
    </w:p>
    <w:p w14:paraId="29D97A73"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Fonts w:hint="eastAsia"/>
          <w:color w:val="333333"/>
          <w:spacing w:val="8"/>
        </w:rPr>
        <w:t> </w:t>
      </w:r>
    </w:p>
    <w:p w14:paraId="173B4740"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4"/>
          <w:rFonts w:hint="eastAsia"/>
          <w:color w:val="333333"/>
          <w:spacing w:val="8"/>
        </w:rPr>
        <w:t>1 研究方法</w:t>
      </w:r>
    </w:p>
    <w:p w14:paraId="582921F0"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4"/>
          <w:rFonts w:hint="eastAsia"/>
          <w:color w:val="333333"/>
          <w:spacing w:val="8"/>
        </w:rPr>
        <w:t>1.1 进口天然气EROI测算方法</w:t>
      </w:r>
    </w:p>
    <w:p w14:paraId="3D07DD2A"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EROI是指能源生产或利用过程中的能源总产出与能源总投入之比，它的计算方法如式（1）所示。</w:t>
      </w:r>
    </w:p>
    <w:p w14:paraId="71BC5A17" w14:textId="60EBD4E5" w:rsidR="00A038C1" w:rsidRPr="00A038C1" w:rsidRDefault="00A038C1" w:rsidP="00A038C1">
      <w:pPr>
        <w:pStyle w:val="a3"/>
        <w:shd w:val="clear" w:color="auto" w:fill="FFFFFF"/>
        <w:spacing w:before="0" w:beforeAutospacing="0" w:after="0" w:afterAutospacing="0"/>
        <w:jc w:val="both"/>
        <w:rPr>
          <w:rFonts w:hint="eastAsia"/>
          <w:color w:val="333333"/>
          <w:spacing w:val="8"/>
        </w:rPr>
      </w:pPr>
      <w:r w:rsidRPr="00A038C1">
        <w:rPr>
          <w:noProof/>
          <w:color w:val="333333"/>
          <w:spacing w:val="8"/>
        </w:rPr>
        <mc:AlternateContent>
          <mc:Choice Requires="wps">
            <w:drawing>
              <wp:inline distT="0" distB="0" distL="0" distR="0" wp14:anchorId="04E6C770" wp14:editId="27A786D1">
                <wp:extent cx="304800" cy="304800"/>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FA59D" id="矩形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Oa88HxAQAAwQMAAA4AAAAAAAAAAAAAAAAALgIAAGRycy9lMm9Eb2Mu&#10;eG1sUEsBAi0AFAAGAAgAAAAhAEyg6SzYAAAAAwEAAA8AAAAAAAAAAAAAAAAASwQAAGRycy9kb3du&#10;cmV2LnhtbFBLBQYAAAAABAAEAPMAAABQBQAAAAA=&#10;" filled="f" stroked="f">
                <o:lock v:ext="edit" aspectratio="t"/>
                <w10:anchorlock/>
              </v:rect>
            </w:pict>
          </mc:Fallback>
        </mc:AlternateContent>
      </w:r>
    </w:p>
    <w:p w14:paraId="61D90948"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lastRenderedPageBreak/>
        <w:t>EROI的均衡点为1，此时，能源生产或利用过程的能源总产出与总投入相等。若EROI值低于1，则总产出不及总投入，从物质投入和产出角度，可认为该生产或利用过程不具备可行性。</w:t>
      </w:r>
    </w:p>
    <w:p w14:paraId="5E4602C5"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测算EROI时需确定系统边界、能源投入指标和能源产出指标。本文的系统边界如图1所示，中国利用外贸收益从天然气出口国购买天然气，通过LNG运输船只或天然气运输管线运输至中国（参照Kaufmann等分析进口原油EROI思路）。对于能源产出指标，本文以海关总署发布的历年天然气进口实物量作为统计指标。对于能源投入指标，本文以中国国界为限，考虑购买天然气和国际运输过程中的能源投入和环境投入。具体而言，以海关总署统计的历年天然气进口金额作为能源投入统计指标（海关总署统计进口金额为到岸价，不需单独计算国际运费），以运输环节中温室气体单位排放量和温室气体治理成本为环境投入统计指标。</w:t>
      </w:r>
    </w:p>
    <w:p w14:paraId="500EFB2A" w14:textId="29FE1801" w:rsidR="00CE0CF7" w:rsidRPr="00A038C1" w:rsidRDefault="00A038C1">
      <w:pPr>
        <w:rPr>
          <w:rFonts w:ascii="宋体" w:eastAsia="宋体" w:hAnsi="宋体"/>
          <w:sz w:val="24"/>
          <w:szCs w:val="24"/>
        </w:rPr>
      </w:pPr>
      <w:r w:rsidRPr="00A038C1">
        <w:rPr>
          <w:rFonts w:ascii="宋体" w:eastAsia="宋体" w:hAnsi="宋体"/>
          <w:noProof/>
          <w:sz w:val="24"/>
          <w:szCs w:val="24"/>
        </w:rPr>
        <w:drawing>
          <wp:inline distT="0" distB="0" distL="0" distR="0" wp14:anchorId="457D6EAE" wp14:editId="4206FB72">
            <wp:extent cx="5274310" cy="42894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4289425"/>
                    </a:xfrm>
                    <a:prstGeom prst="rect">
                      <a:avLst/>
                    </a:prstGeom>
                  </pic:spPr>
                </pic:pic>
              </a:graphicData>
            </a:graphic>
          </wp:inline>
        </w:drawing>
      </w:r>
    </w:p>
    <w:p w14:paraId="4D8C0A15" w14:textId="77777777" w:rsidR="00A038C1" w:rsidRPr="00A038C1" w:rsidRDefault="00A038C1" w:rsidP="00A038C1">
      <w:pPr>
        <w:pStyle w:val="a3"/>
        <w:shd w:val="clear" w:color="auto" w:fill="FFFFFF"/>
        <w:spacing w:before="0" w:beforeAutospacing="0" w:after="0" w:afterAutospacing="0" w:line="420" w:lineRule="atLeast"/>
        <w:ind w:firstLine="480"/>
        <w:jc w:val="both"/>
        <w:rPr>
          <w:color w:val="333333"/>
          <w:spacing w:val="8"/>
        </w:rPr>
      </w:pPr>
      <w:r w:rsidRPr="00A038C1">
        <w:rPr>
          <w:rFonts w:hint="eastAsia"/>
          <w:color w:val="333333"/>
          <w:spacing w:val="8"/>
        </w:rPr>
        <w:t>式中：E</w:t>
      </w:r>
      <w:r w:rsidRPr="00A038C1">
        <w:rPr>
          <w:rFonts w:hint="eastAsia"/>
          <w:color w:val="333333"/>
          <w:spacing w:val="8"/>
          <w:vertAlign w:val="subscript"/>
        </w:rPr>
        <w:t>U（IG）</w:t>
      </w:r>
      <w:r w:rsidRPr="00A038C1">
        <w:rPr>
          <w:rFonts w:hint="eastAsia"/>
          <w:color w:val="333333"/>
          <w:spacing w:val="8"/>
        </w:rPr>
        <w:t>表示能量单位下进口天然气的单位产出；A</w:t>
      </w:r>
      <w:r w:rsidRPr="00A038C1">
        <w:rPr>
          <w:rFonts w:hint="eastAsia"/>
          <w:color w:val="333333"/>
          <w:spacing w:val="8"/>
          <w:vertAlign w:val="subscript"/>
        </w:rPr>
        <w:t>IG</w:t>
      </w:r>
      <w:r w:rsidRPr="00A038C1">
        <w:rPr>
          <w:rFonts w:hint="eastAsia"/>
          <w:color w:val="333333"/>
          <w:spacing w:val="8"/>
        </w:rPr>
        <w:t>表示进口天然气总量；</w:t>
      </w:r>
      <w:proofErr w:type="spellStart"/>
      <w:r w:rsidRPr="00A038C1">
        <w:rPr>
          <w:rFonts w:hint="eastAsia"/>
          <w:color w:val="333333"/>
          <w:spacing w:val="8"/>
        </w:rPr>
        <w:t>E</w:t>
      </w:r>
      <w:r w:rsidRPr="00A038C1">
        <w:rPr>
          <w:rFonts w:hint="eastAsia"/>
          <w:color w:val="333333"/>
          <w:spacing w:val="8"/>
          <w:vertAlign w:val="subscript"/>
        </w:rPr>
        <w:t>int</w:t>
      </w:r>
      <w:proofErr w:type="spellEnd"/>
      <w:r w:rsidRPr="00A038C1">
        <w:rPr>
          <w:rFonts w:hint="eastAsia"/>
          <w:color w:val="333333"/>
          <w:spacing w:val="8"/>
        </w:rPr>
        <w:t>是中国的能源消耗强度；E</w:t>
      </w:r>
      <w:r w:rsidRPr="00A038C1">
        <w:rPr>
          <w:rFonts w:hint="eastAsia"/>
          <w:color w:val="333333"/>
          <w:spacing w:val="8"/>
          <w:vertAlign w:val="subscript"/>
        </w:rPr>
        <w:t>P（IG）</w:t>
      </w:r>
      <w:r w:rsidRPr="00A038C1">
        <w:rPr>
          <w:rFonts w:hint="eastAsia"/>
          <w:color w:val="333333"/>
          <w:spacing w:val="8"/>
        </w:rPr>
        <w:t>是包含国际运费的进口天然气单价。</w:t>
      </w:r>
    </w:p>
    <w:p w14:paraId="106BA6CB"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4"/>
          <w:rFonts w:hint="eastAsia"/>
          <w:color w:val="333333"/>
          <w:spacing w:val="8"/>
        </w:rPr>
        <w:t>1.2 能量单位转换</w:t>
      </w:r>
    </w:p>
    <w:p w14:paraId="0CEA6116"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lastRenderedPageBreak/>
        <w:t>由于初始数据并非以能量单位为统计单位，本文根据初始数据类型的差异，采用两种转换方法对数据进行转换。对于实物量数据，本文利用天然气能量当量作为转换单位，天然气能量当量约为35.8MJ/m</w:t>
      </w:r>
      <w:r w:rsidRPr="00A038C1">
        <w:rPr>
          <w:rFonts w:hint="eastAsia"/>
          <w:color w:val="333333"/>
          <w:spacing w:val="8"/>
          <w:vertAlign w:val="superscript"/>
        </w:rPr>
        <w:t>3</w:t>
      </w:r>
      <w:r w:rsidRPr="00A038C1">
        <w:rPr>
          <w:rFonts w:hint="eastAsia"/>
          <w:color w:val="333333"/>
          <w:spacing w:val="8"/>
        </w:rPr>
        <w:t>。对于经济数据，本文利用中国的能源消耗强度作为转换单位。2006年之后的中国能源消耗强度如图2所示。</w:t>
      </w:r>
    </w:p>
    <w:p w14:paraId="13EB9B35" w14:textId="1A82E437" w:rsidR="00A038C1" w:rsidRPr="00A038C1" w:rsidRDefault="00A038C1">
      <w:pPr>
        <w:rPr>
          <w:rFonts w:ascii="宋体" w:eastAsia="宋体" w:hAnsi="宋体"/>
          <w:sz w:val="24"/>
          <w:szCs w:val="24"/>
        </w:rPr>
      </w:pPr>
      <w:r w:rsidRPr="00A038C1">
        <w:rPr>
          <w:rFonts w:ascii="宋体" w:eastAsia="宋体" w:hAnsi="宋体"/>
          <w:noProof/>
          <w:sz w:val="24"/>
          <w:szCs w:val="24"/>
        </w:rPr>
        <w:drawing>
          <wp:inline distT="0" distB="0" distL="0" distR="0" wp14:anchorId="498B1C91" wp14:editId="3EDC0A46">
            <wp:extent cx="5274310" cy="34829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482975"/>
                    </a:xfrm>
                    <a:prstGeom prst="rect">
                      <a:avLst/>
                    </a:prstGeom>
                  </pic:spPr>
                </pic:pic>
              </a:graphicData>
            </a:graphic>
          </wp:inline>
        </w:drawing>
      </w:r>
    </w:p>
    <w:p w14:paraId="0772539E" w14:textId="77777777" w:rsidR="00A038C1" w:rsidRPr="00A038C1" w:rsidRDefault="00A038C1" w:rsidP="00A038C1">
      <w:pPr>
        <w:pStyle w:val="a3"/>
        <w:shd w:val="clear" w:color="auto" w:fill="FFFFFF"/>
        <w:spacing w:before="0" w:beforeAutospacing="0" w:after="0" w:afterAutospacing="0" w:line="420" w:lineRule="atLeast"/>
        <w:jc w:val="both"/>
        <w:rPr>
          <w:color w:val="333333"/>
          <w:spacing w:val="8"/>
        </w:rPr>
      </w:pPr>
      <w:r w:rsidRPr="00A038C1">
        <w:rPr>
          <w:rStyle w:val="a4"/>
          <w:rFonts w:hint="eastAsia"/>
          <w:color w:val="333333"/>
          <w:spacing w:val="8"/>
        </w:rPr>
        <w:t>1.3 环境投入</w:t>
      </w:r>
    </w:p>
    <w:p w14:paraId="47FE796A"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进口天然气时需重点关注出口商品制造和天然气国际运输两个环节中的温室气体排放，本文采用过程分析法估算进口天然气的环境投入（ENV</w:t>
      </w:r>
      <w:r w:rsidRPr="00A038C1">
        <w:rPr>
          <w:rFonts w:hint="eastAsia"/>
          <w:color w:val="333333"/>
          <w:spacing w:val="8"/>
          <w:vertAlign w:val="subscript"/>
        </w:rPr>
        <w:t>IG</w:t>
      </w:r>
      <w:r w:rsidRPr="00A038C1">
        <w:rPr>
          <w:rFonts w:hint="eastAsia"/>
          <w:color w:val="333333"/>
          <w:spacing w:val="8"/>
        </w:rPr>
        <w:t>），见式（3）。</w:t>
      </w:r>
    </w:p>
    <w:p w14:paraId="2A79E215" w14:textId="1E24E7B7" w:rsidR="00A038C1" w:rsidRPr="00A038C1" w:rsidRDefault="00A038C1">
      <w:pPr>
        <w:rPr>
          <w:rFonts w:ascii="宋体" w:eastAsia="宋体" w:hAnsi="宋体"/>
          <w:sz w:val="24"/>
          <w:szCs w:val="24"/>
        </w:rPr>
      </w:pPr>
      <w:r w:rsidRPr="00A038C1">
        <w:rPr>
          <w:rFonts w:ascii="宋体" w:eastAsia="宋体" w:hAnsi="宋体"/>
          <w:noProof/>
          <w:sz w:val="24"/>
          <w:szCs w:val="24"/>
        </w:rPr>
        <w:drawing>
          <wp:inline distT="0" distB="0" distL="0" distR="0" wp14:anchorId="0BFE854D" wp14:editId="2C6AF425">
            <wp:extent cx="5274310" cy="3365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36550"/>
                    </a:xfrm>
                    <a:prstGeom prst="rect">
                      <a:avLst/>
                    </a:prstGeom>
                  </pic:spPr>
                </pic:pic>
              </a:graphicData>
            </a:graphic>
          </wp:inline>
        </w:drawing>
      </w:r>
    </w:p>
    <w:p w14:paraId="08DA1AC5" w14:textId="7EE2A5D7" w:rsidR="00A038C1" w:rsidRPr="00A038C1" w:rsidRDefault="00A038C1">
      <w:pPr>
        <w:rPr>
          <w:rFonts w:ascii="宋体" w:eastAsia="宋体" w:hAnsi="宋体"/>
          <w:color w:val="333333"/>
          <w:spacing w:val="8"/>
          <w:sz w:val="24"/>
          <w:szCs w:val="24"/>
          <w:shd w:val="clear" w:color="auto" w:fill="FFFFFF"/>
        </w:rPr>
      </w:pPr>
      <w:r w:rsidRPr="00A038C1">
        <w:rPr>
          <w:rFonts w:ascii="宋体" w:eastAsia="宋体" w:hAnsi="宋体" w:hint="eastAsia"/>
          <w:color w:val="333333"/>
          <w:spacing w:val="8"/>
          <w:sz w:val="24"/>
          <w:szCs w:val="24"/>
          <w:shd w:val="clear" w:color="auto" w:fill="FFFFFF"/>
        </w:rPr>
        <w:t>式中：</w:t>
      </w:r>
      <w:proofErr w:type="spellStart"/>
      <w:r w:rsidRPr="00A038C1">
        <w:rPr>
          <w:rFonts w:ascii="宋体" w:eastAsia="宋体" w:hAnsi="宋体" w:hint="eastAsia"/>
          <w:color w:val="333333"/>
          <w:spacing w:val="8"/>
          <w:sz w:val="24"/>
          <w:szCs w:val="24"/>
          <w:shd w:val="clear" w:color="auto" w:fill="FFFFFF"/>
        </w:rPr>
        <w:t>EF</w:t>
      </w:r>
      <w:r w:rsidRPr="00A038C1">
        <w:rPr>
          <w:rFonts w:ascii="宋体" w:eastAsia="宋体" w:hAnsi="宋体" w:hint="eastAsia"/>
          <w:color w:val="333333"/>
          <w:spacing w:val="8"/>
          <w:sz w:val="24"/>
          <w:szCs w:val="24"/>
          <w:shd w:val="clear" w:color="auto" w:fill="FFFFFF"/>
          <w:vertAlign w:val="subscript"/>
        </w:rPr>
        <w:t>i</w:t>
      </w:r>
      <w:proofErr w:type="spellEnd"/>
      <w:r w:rsidRPr="00A038C1">
        <w:rPr>
          <w:rFonts w:ascii="宋体" w:eastAsia="宋体" w:hAnsi="宋体" w:hint="eastAsia"/>
          <w:color w:val="333333"/>
          <w:spacing w:val="8"/>
          <w:sz w:val="24"/>
          <w:szCs w:val="24"/>
          <w:shd w:val="clear" w:color="auto" w:fill="FFFFFF"/>
        </w:rPr>
        <w:t>代表出口商品制造和天然气国际运输环节中的温室气体</w:t>
      </w:r>
      <w:proofErr w:type="spellStart"/>
      <w:r w:rsidRPr="00A038C1">
        <w:rPr>
          <w:rFonts w:ascii="宋体" w:eastAsia="宋体" w:hAnsi="宋体" w:hint="eastAsia"/>
          <w:color w:val="333333"/>
          <w:spacing w:val="8"/>
          <w:sz w:val="24"/>
          <w:szCs w:val="24"/>
          <w:shd w:val="clear" w:color="auto" w:fill="FFFFFF"/>
        </w:rPr>
        <w:t>i</w:t>
      </w:r>
      <w:proofErr w:type="spellEnd"/>
      <w:r w:rsidRPr="00A038C1">
        <w:rPr>
          <w:rFonts w:ascii="宋体" w:eastAsia="宋体" w:hAnsi="宋体" w:hint="eastAsia"/>
          <w:color w:val="333333"/>
          <w:spacing w:val="8"/>
          <w:sz w:val="24"/>
          <w:szCs w:val="24"/>
          <w:shd w:val="clear" w:color="auto" w:fill="FFFFFF"/>
        </w:rPr>
        <w:t>的排放因子；</w:t>
      </w:r>
      <w:proofErr w:type="spellStart"/>
      <w:r w:rsidRPr="00A038C1">
        <w:rPr>
          <w:rFonts w:ascii="宋体" w:eastAsia="宋体" w:hAnsi="宋体" w:hint="eastAsia"/>
          <w:color w:val="333333"/>
          <w:spacing w:val="8"/>
          <w:sz w:val="24"/>
          <w:szCs w:val="24"/>
          <w:shd w:val="clear" w:color="auto" w:fill="FFFFFF"/>
        </w:rPr>
        <w:t>ECF</w:t>
      </w:r>
      <w:r w:rsidRPr="00A038C1">
        <w:rPr>
          <w:rFonts w:ascii="宋体" w:eastAsia="宋体" w:hAnsi="宋体" w:hint="eastAsia"/>
          <w:color w:val="333333"/>
          <w:spacing w:val="8"/>
          <w:sz w:val="24"/>
          <w:szCs w:val="24"/>
          <w:shd w:val="clear" w:color="auto" w:fill="FFFFFF"/>
          <w:vertAlign w:val="subscript"/>
        </w:rPr>
        <w:t>i</w:t>
      </w:r>
      <w:proofErr w:type="spellEnd"/>
      <w:r w:rsidRPr="00A038C1">
        <w:rPr>
          <w:rFonts w:ascii="宋体" w:eastAsia="宋体" w:hAnsi="宋体" w:hint="eastAsia"/>
          <w:color w:val="333333"/>
          <w:spacing w:val="8"/>
          <w:sz w:val="24"/>
          <w:szCs w:val="24"/>
          <w:shd w:val="clear" w:color="auto" w:fill="FFFFFF"/>
        </w:rPr>
        <w:t>代表治理温室气体</w:t>
      </w:r>
      <w:proofErr w:type="spellStart"/>
      <w:r w:rsidRPr="00A038C1">
        <w:rPr>
          <w:rFonts w:ascii="宋体" w:eastAsia="宋体" w:hAnsi="宋体" w:hint="eastAsia"/>
          <w:color w:val="333333"/>
          <w:spacing w:val="8"/>
          <w:sz w:val="24"/>
          <w:szCs w:val="24"/>
          <w:shd w:val="clear" w:color="auto" w:fill="FFFFFF"/>
        </w:rPr>
        <w:t>i</w:t>
      </w:r>
      <w:proofErr w:type="spellEnd"/>
      <w:r w:rsidRPr="00A038C1">
        <w:rPr>
          <w:rFonts w:ascii="宋体" w:eastAsia="宋体" w:hAnsi="宋体" w:hint="eastAsia"/>
          <w:color w:val="333333"/>
          <w:spacing w:val="8"/>
          <w:sz w:val="24"/>
          <w:szCs w:val="24"/>
          <w:shd w:val="clear" w:color="auto" w:fill="FFFFFF"/>
        </w:rPr>
        <w:t>的外部成本，具体参数值见表1。</w:t>
      </w:r>
    </w:p>
    <w:p w14:paraId="58012FD3" w14:textId="1210CF9C" w:rsidR="00A038C1" w:rsidRPr="00A038C1" w:rsidRDefault="00A038C1">
      <w:pPr>
        <w:rPr>
          <w:rFonts w:ascii="宋体" w:eastAsia="宋体" w:hAnsi="宋体"/>
          <w:sz w:val="24"/>
          <w:szCs w:val="24"/>
        </w:rPr>
      </w:pPr>
      <w:r w:rsidRPr="00A038C1">
        <w:rPr>
          <w:rFonts w:ascii="宋体" w:eastAsia="宋体" w:hAnsi="宋体"/>
          <w:noProof/>
          <w:sz w:val="24"/>
          <w:szCs w:val="24"/>
        </w:rPr>
        <w:lastRenderedPageBreak/>
        <w:drawing>
          <wp:inline distT="0" distB="0" distL="0" distR="0" wp14:anchorId="3353395F" wp14:editId="44768673">
            <wp:extent cx="5274310" cy="30257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025775"/>
                    </a:xfrm>
                    <a:prstGeom prst="rect">
                      <a:avLst/>
                    </a:prstGeom>
                  </pic:spPr>
                </pic:pic>
              </a:graphicData>
            </a:graphic>
          </wp:inline>
        </w:drawing>
      </w:r>
    </w:p>
    <w:p w14:paraId="5AB9072B" w14:textId="77777777" w:rsidR="00A038C1" w:rsidRPr="00A038C1" w:rsidRDefault="00A038C1" w:rsidP="00A038C1">
      <w:pPr>
        <w:pStyle w:val="a3"/>
        <w:shd w:val="clear" w:color="auto" w:fill="FFFFFF"/>
        <w:spacing w:before="0" w:beforeAutospacing="0" w:after="0" w:afterAutospacing="0" w:line="420" w:lineRule="atLeast"/>
        <w:jc w:val="both"/>
        <w:rPr>
          <w:color w:val="333333"/>
          <w:spacing w:val="8"/>
        </w:rPr>
      </w:pPr>
      <w:r w:rsidRPr="00A038C1">
        <w:rPr>
          <w:rFonts w:hint="eastAsia"/>
          <w:color w:val="333333"/>
          <w:spacing w:val="8"/>
        </w:rPr>
        <w:t> </w:t>
      </w:r>
    </w:p>
    <w:p w14:paraId="0754D6FD"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4"/>
          <w:rFonts w:hint="eastAsia"/>
          <w:color w:val="333333"/>
          <w:spacing w:val="8"/>
        </w:rPr>
        <w:t>2 中国进口天然气EROI分析</w:t>
      </w:r>
    </w:p>
    <w:p w14:paraId="5CC85DA2"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4"/>
          <w:rFonts w:hint="eastAsia"/>
          <w:color w:val="333333"/>
          <w:spacing w:val="8"/>
        </w:rPr>
        <w:t>2.1 能源产出</w:t>
      </w:r>
    </w:p>
    <w:p w14:paraId="0DBCF2C3"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利用2006~2015年中国天然气进口量数据和天然气能量当量可计算得出中国进口天然气的能源产出，具体如表2所示。</w:t>
      </w:r>
    </w:p>
    <w:p w14:paraId="29F94161" w14:textId="56D8867F" w:rsidR="00A038C1" w:rsidRPr="00A038C1" w:rsidRDefault="00A038C1">
      <w:pPr>
        <w:rPr>
          <w:rFonts w:ascii="宋体" w:eastAsia="宋体" w:hAnsi="宋体"/>
          <w:sz w:val="24"/>
          <w:szCs w:val="24"/>
        </w:rPr>
      </w:pPr>
      <w:r w:rsidRPr="00A038C1">
        <w:rPr>
          <w:rFonts w:ascii="宋体" w:eastAsia="宋体" w:hAnsi="宋体"/>
          <w:noProof/>
          <w:sz w:val="24"/>
          <w:szCs w:val="24"/>
        </w:rPr>
        <w:lastRenderedPageBreak/>
        <w:drawing>
          <wp:inline distT="0" distB="0" distL="0" distR="0" wp14:anchorId="395C2DA1" wp14:editId="1006257B">
            <wp:extent cx="5274310" cy="59385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938520"/>
                    </a:xfrm>
                    <a:prstGeom prst="rect">
                      <a:avLst/>
                    </a:prstGeom>
                  </pic:spPr>
                </pic:pic>
              </a:graphicData>
            </a:graphic>
          </wp:inline>
        </w:drawing>
      </w:r>
    </w:p>
    <w:p w14:paraId="63608472" w14:textId="77777777" w:rsidR="00A038C1" w:rsidRPr="00A038C1" w:rsidRDefault="00A038C1" w:rsidP="00A038C1">
      <w:pPr>
        <w:pStyle w:val="a3"/>
        <w:shd w:val="clear" w:color="auto" w:fill="FFFFFF"/>
        <w:spacing w:before="0" w:beforeAutospacing="0" w:after="0" w:afterAutospacing="0" w:line="420" w:lineRule="atLeast"/>
        <w:jc w:val="both"/>
        <w:rPr>
          <w:color w:val="333333"/>
          <w:spacing w:val="8"/>
        </w:rPr>
      </w:pPr>
      <w:r w:rsidRPr="00A038C1">
        <w:rPr>
          <w:rStyle w:val="a4"/>
          <w:rFonts w:hint="eastAsia"/>
          <w:color w:val="333333"/>
          <w:spacing w:val="8"/>
        </w:rPr>
        <w:t>2.2 能源投入</w:t>
      </w:r>
    </w:p>
    <w:p w14:paraId="08C5F23E"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利用2006~2015年中国进口天然气金额和能源强度可计算得出中国进口天然气的能源投入，具体见表3。</w:t>
      </w:r>
    </w:p>
    <w:p w14:paraId="4BAC936C" w14:textId="2AA0C5A4" w:rsidR="00A038C1" w:rsidRPr="00A038C1" w:rsidRDefault="00A038C1">
      <w:pPr>
        <w:rPr>
          <w:rFonts w:ascii="宋体" w:eastAsia="宋体" w:hAnsi="宋体"/>
          <w:sz w:val="24"/>
          <w:szCs w:val="24"/>
        </w:rPr>
      </w:pPr>
      <w:r w:rsidRPr="00A038C1">
        <w:rPr>
          <w:rFonts w:ascii="宋体" w:eastAsia="宋体" w:hAnsi="宋体"/>
          <w:noProof/>
          <w:sz w:val="24"/>
          <w:szCs w:val="24"/>
        </w:rPr>
        <w:lastRenderedPageBreak/>
        <w:drawing>
          <wp:inline distT="0" distB="0" distL="0" distR="0" wp14:anchorId="26EFA27F" wp14:editId="54325982">
            <wp:extent cx="5274310" cy="59829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5982970"/>
                    </a:xfrm>
                    <a:prstGeom prst="rect">
                      <a:avLst/>
                    </a:prstGeom>
                  </pic:spPr>
                </pic:pic>
              </a:graphicData>
            </a:graphic>
          </wp:inline>
        </w:drawing>
      </w:r>
    </w:p>
    <w:p w14:paraId="598F1D7B" w14:textId="77777777" w:rsidR="00A038C1" w:rsidRPr="00A038C1" w:rsidRDefault="00A038C1" w:rsidP="00A038C1">
      <w:pPr>
        <w:pStyle w:val="a3"/>
        <w:shd w:val="clear" w:color="auto" w:fill="FFFFFF"/>
        <w:spacing w:before="0" w:beforeAutospacing="0" w:after="0" w:afterAutospacing="0" w:line="420" w:lineRule="atLeast"/>
        <w:jc w:val="both"/>
        <w:rPr>
          <w:color w:val="333333"/>
          <w:spacing w:val="8"/>
        </w:rPr>
      </w:pPr>
      <w:r w:rsidRPr="00A038C1">
        <w:rPr>
          <w:rStyle w:val="a4"/>
          <w:rFonts w:hint="eastAsia"/>
          <w:color w:val="333333"/>
          <w:spacing w:val="8"/>
        </w:rPr>
        <w:t>2.3 环境投入</w:t>
      </w:r>
    </w:p>
    <w:p w14:paraId="626ADD5C"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环境投入由天然气进口量和进口金额、温室气体排放因子、温室气体治理成本、运输距离、汇率和能源消耗强度计算得出。本文利用LNG和管道气典型运输线路的平均运距作为运输距离，假设LNG和管道气运输距离分别为12373km 和1472km。环境投入计算结果如图3所示。</w:t>
      </w:r>
    </w:p>
    <w:p w14:paraId="74CAF041" w14:textId="22D1C5A2" w:rsidR="00A038C1" w:rsidRPr="00A038C1" w:rsidRDefault="00A038C1">
      <w:pPr>
        <w:rPr>
          <w:rFonts w:ascii="宋体" w:eastAsia="宋体" w:hAnsi="宋体"/>
          <w:sz w:val="24"/>
          <w:szCs w:val="24"/>
        </w:rPr>
      </w:pPr>
      <w:r w:rsidRPr="00A038C1">
        <w:rPr>
          <w:rFonts w:ascii="宋体" w:eastAsia="宋体" w:hAnsi="宋体"/>
          <w:noProof/>
          <w:sz w:val="24"/>
          <w:szCs w:val="24"/>
        </w:rPr>
        <w:lastRenderedPageBreak/>
        <w:drawing>
          <wp:inline distT="0" distB="0" distL="0" distR="0" wp14:anchorId="5664EC1B" wp14:editId="49BAEAE2">
            <wp:extent cx="5274310" cy="44094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409440"/>
                    </a:xfrm>
                    <a:prstGeom prst="rect">
                      <a:avLst/>
                    </a:prstGeom>
                  </pic:spPr>
                </pic:pic>
              </a:graphicData>
            </a:graphic>
          </wp:inline>
        </w:drawing>
      </w:r>
    </w:p>
    <w:p w14:paraId="4FD23329" w14:textId="77777777" w:rsidR="00A038C1" w:rsidRPr="00A038C1" w:rsidRDefault="00A038C1" w:rsidP="00A038C1">
      <w:pPr>
        <w:pStyle w:val="a3"/>
        <w:shd w:val="clear" w:color="auto" w:fill="FFFFFF"/>
        <w:spacing w:before="0" w:beforeAutospacing="0" w:after="0" w:afterAutospacing="0" w:line="420" w:lineRule="atLeast"/>
        <w:ind w:firstLine="480"/>
        <w:jc w:val="both"/>
        <w:rPr>
          <w:color w:val="333333"/>
          <w:spacing w:val="8"/>
        </w:rPr>
      </w:pPr>
      <w:r w:rsidRPr="00A038C1">
        <w:rPr>
          <w:rFonts w:hint="eastAsia"/>
          <w:color w:val="333333"/>
          <w:spacing w:val="8"/>
        </w:rPr>
        <w:t>从图3中可以看出：①由NO</w:t>
      </w:r>
      <w:r w:rsidRPr="00A038C1">
        <w:rPr>
          <w:rFonts w:hint="eastAsia"/>
          <w:color w:val="333333"/>
          <w:spacing w:val="8"/>
          <w:vertAlign w:val="subscript"/>
        </w:rPr>
        <w:t>X</w:t>
      </w:r>
      <w:r w:rsidRPr="00A038C1">
        <w:rPr>
          <w:rFonts w:hint="eastAsia"/>
          <w:color w:val="333333"/>
          <w:spacing w:val="8"/>
        </w:rPr>
        <w:t>排放所引发的环境投入最高，这与NO</w:t>
      </w:r>
      <w:r w:rsidRPr="00A038C1">
        <w:rPr>
          <w:rFonts w:hint="eastAsia"/>
          <w:color w:val="333333"/>
          <w:spacing w:val="8"/>
          <w:vertAlign w:val="subscript"/>
        </w:rPr>
        <w:t>X</w:t>
      </w:r>
      <w:r w:rsidRPr="00A038C1">
        <w:rPr>
          <w:rFonts w:hint="eastAsia"/>
          <w:color w:val="333333"/>
          <w:spacing w:val="8"/>
        </w:rPr>
        <w:t>治理成本较高相关，从表1中可以看出NO</w:t>
      </w:r>
      <w:r w:rsidRPr="00A038C1">
        <w:rPr>
          <w:rFonts w:hint="eastAsia"/>
          <w:color w:val="333333"/>
          <w:spacing w:val="8"/>
          <w:vertAlign w:val="subscript"/>
        </w:rPr>
        <w:t>X</w:t>
      </w:r>
      <w:r w:rsidRPr="00A038C1">
        <w:rPr>
          <w:rFonts w:hint="eastAsia"/>
          <w:color w:val="333333"/>
          <w:spacing w:val="8"/>
        </w:rPr>
        <w:t>治理成本分别是CO</w:t>
      </w:r>
      <w:r w:rsidRPr="00A038C1">
        <w:rPr>
          <w:rFonts w:hint="eastAsia"/>
          <w:color w:val="333333"/>
          <w:spacing w:val="8"/>
          <w:vertAlign w:val="subscript"/>
        </w:rPr>
        <w:t>2</w:t>
      </w:r>
      <w:r w:rsidRPr="00A038C1">
        <w:rPr>
          <w:rFonts w:hint="eastAsia"/>
          <w:color w:val="333333"/>
          <w:spacing w:val="8"/>
        </w:rPr>
        <w:t>和CH</w:t>
      </w:r>
      <w:r w:rsidRPr="00A038C1">
        <w:rPr>
          <w:rFonts w:hint="eastAsia"/>
          <w:color w:val="333333"/>
          <w:spacing w:val="8"/>
          <w:vertAlign w:val="subscript"/>
        </w:rPr>
        <w:t>4</w:t>
      </w:r>
      <w:r w:rsidRPr="00A038C1">
        <w:rPr>
          <w:rFonts w:hint="eastAsia"/>
          <w:color w:val="333333"/>
          <w:spacing w:val="8"/>
        </w:rPr>
        <w:t>治理成本的164倍和22倍，因而，虽然NO</w:t>
      </w:r>
      <w:r w:rsidRPr="00A038C1">
        <w:rPr>
          <w:rFonts w:hint="eastAsia"/>
          <w:color w:val="333333"/>
          <w:spacing w:val="8"/>
          <w:vertAlign w:val="subscript"/>
        </w:rPr>
        <w:t>X</w:t>
      </w:r>
      <w:r w:rsidRPr="00A038C1">
        <w:rPr>
          <w:rFonts w:hint="eastAsia"/>
          <w:color w:val="333333"/>
          <w:spacing w:val="8"/>
        </w:rPr>
        <w:t>排放量远低于CO</w:t>
      </w:r>
      <w:r w:rsidRPr="00A038C1">
        <w:rPr>
          <w:rFonts w:hint="eastAsia"/>
          <w:color w:val="333333"/>
          <w:spacing w:val="8"/>
          <w:vertAlign w:val="subscript"/>
        </w:rPr>
        <w:t>2</w:t>
      </w:r>
      <w:r w:rsidRPr="00A038C1">
        <w:rPr>
          <w:rFonts w:hint="eastAsia"/>
          <w:color w:val="333333"/>
          <w:spacing w:val="8"/>
        </w:rPr>
        <w:t>和CH</w:t>
      </w:r>
      <w:r w:rsidRPr="00A038C1">
        <w:rPr>
          <w:rFonts w:hint="eastAsia"/>
          <w:color w:val="333333"/>
          <w:spacing w:val="8"/>
          <w:vertAlign w:val="subscript"/>
        </w:rPr>
        <w:t>4</w:t>
      </w:r>
      <w:r w:rsidRPr="00A038C1">
        <w:rPr>
          <w:rFonts w:hint="eastAsia"/>
          <w:color w:val="333333"/>
          <w:spacing w:val="8"/>
        </w:rPr>
        <w:t>，但它的环境总投入最高；②出口商品制造环节是CO</w:t>
      </w:r>
      <w:r w:rsidRPr="00A038C1">
        <w:rPr>
          <w:rFonts w:hint="eastAsia"/>
          <w:color w:val="333333"/>
          <w:spacing w:val="8"/>
          <w:vertAlign w:val="subscript"/>
        </w:rPr>
        <w:t>2</w:t>
      </w:r>
      <w:r w:rsidRPr="00A038C1">
        <w:rPr>
          <w:rFonts w:hint="eastAsia"/>
          <w:color w:val="333333"/>
          <w:spacing w:val="8"/>
        </w:rPr>
        <w:t>和CH</w:t>
      </w:r>
      <w:r w:rsidRPr="00A038C1">
        <w:rPr>
          <w:rFonts w:hint="eastAsia"/>
          <w:color w:val="333333"/>
          <w:spacing w:val="8"/>
          <w:vertAlign w:val="subscript"/>
        </w:rPr>
        <w:t>4</w:t>
      </w:r>
      <w:r w:rsidRPr="00A038C1">
        <w:rPr>
          <w:rFonts w:hint="eastAsia"/>
          <w:color w:val="333333"/>
          <w:spacing w:val="8"/>
        </w:rPr>
        <w:t>环境投入的主要来源，从图3（a）和图3（b）中可看出，2011年之后，出口商品制造环节排放的CO</w:t>
      </w:r>
      <w:r w:rsidRPr="00A038C1">
        <w:rPr>
          <w:rFonts w:hint="eastAsia"/>
          <w:color w:val="333333"/>
          <w:spacing w:val="8"/>
          <w:vertAlign w:val="subscript"/>
        </w:rPr>
        <w:t>2</w:t>
      </w:r>
      <w:r w:rsidRPr="00A038C1">
        <w:rPr>
          <w:rFonts w:hint="eastAsia"/>
          <w:color w:val="333333"/>
          <w:spacing w:val="8"/>
        </w:rPr>
        <w:t>环境投入在CO</w:t>
      </w:r>
      <w:r w:rsidRPr="00A038C1">
        <w:rPr>
          <w:rFonts w:hint="eastAsia"/>
          <w:color w:val="333333"/>
          <w:spacing w:val="8"/>
          <w:vertAlign w:val="subscript"/>
        </w:rPr>
        <w:t>2</w:t>
      </w:r>
      <w:r w:rsidRPr="00A038C1">
        <w:rPr>
          <w:rFonts w:hint="eastAsia"/>
          <w:color w:val="333333"/>
          <w:spacing w:val="8"/>
        </w:rPr>
        <w:t>总环境投入中占比超过50%，CH</w:t>
      </w:r>
      <w:r w:rsidRPr="00A038C1">
        <w:rPr>
          <w:rFonts w:hint="eastAsia"/>
          <w:color w:val="333333"/>
          <w:spacing w:val="8"/>
          <w:vertAlign w:val="subscript"/>
        </w:rPr>
        <w:t>4</w:t>
      </w:r>
      <w:r w:rsidRPr="00A038C1">
        <w:rPr>
          <w:rFonts w:hint="eastAsia"/>
          <w:color w:val="333333"/>
          <w:spacing w:val="8"/>
        </w:rPr>
        <w:t>环境投入占CH</w:t>
      </w:r>
      <w:r w:rsidRPr="00A038C1">
        <w:rPr>
          <w:rFonts w:hint="eastAsia"/>
          <w:color w:val="333333"/>
          <w:spacing w:val="8"/>
          <w:vertAlign w:val="subscript"/>
        </w:rPr>
        <w:t>4</w:t>
      </w:r>
      <w:r w:rsidRPr="00A038C1">
        <w:rPr>
          <w:rFonts w:hint="eastAsia"/>
          <w:color w:val="333333"/>
          <w:spacing w:val="8"/>
        </w:rPr>
        <w:t>总环境投入的比重也接近50%；③运输环节是NO</w:t>
      </w:r>
      <w:r w:rsidRPr="00A038C1">
        <w:rPr>
          <w:rFonts w:hint="eastAsia"/>
          <w:color w:val="333333"/>
          <w:spacing w:val="8"/>
          <w:vertAlign w:val="subscript"/>
        </w:rPr>
        <w:t>X</w:t>
      </w:r>
      <w:r w:rsidRPr="00A038C1">
        <w:rPr>
          <w:rFonts w:hint="eastAsia"/>
          <w:color w:val="333333"/>
          <w:spacing w:val="8"/>
        </w:rPr>
        <w:t>排放的主要来源，从图3（c）中可看出，运输环节产生的NO</w:t>
      </w:r>
      <w:r w:rsidRPr="00A038C1">
        <w:rPr>
          <w:rFonts w:hint="eastAsia"/>
          <w:color w:val="333333"/>
          <w:spacing w:val="8"/>
          <w:vertAlign w:val="subscript"/>
        </w:rPr>
        <w:t>X</w:t>
      </w:r>
      <w:r w:rsidRPr="00A038C1">
        <w:rPr>
          <w:rFonts w:hint="eastAsia"/>
          <w:color w:val="333333"/>
          <w:spacing w:val="8"/>
        </w:rPr>
        <w:t>环境投入占比超过90%。</w:t>
      </w:r>
    </w:p>
    <w:p w14:paraId="4E018489"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4"/>
          <w:rFonts w:hint="eastAsia"/>
          <w:color w:val="333333"/>
          <w:spacing w:val="8"/>
        </w:rPr>
        <w:t>2.4 EROI</w:t>
      </w:r>
    </w:p>
    <w:p w14:paraId="2B46510A"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根据以上计算结果，可得到中国进口天然气的EROI时间序列，具体如图4所示。</w:t>
      </w:r>
    </w:p>
    <w:p w14:paraId="6497900C" w14:textId="50ECF28E" w:rsidR="00A038C1" w:rsidRPr="00A038C1" w:rsidRDefault="00A038C1">
      <w:pPr>
        <w:rPr>
          <w:rFonts w:ascii="宋体" w:eastAsia="宋体" w:hAnsi="宋体"/>
          <w:sz w:val="24"/>
          <w:szCs w:val="24"/>
        </w:rPr>
      </w:pPr>
      <w:r w:rsidRPr="00A038C1">
        <w:rPr>
          <w:rFonts w:ascii="宋体" w:eastAsia="宋体" w:hAnsi="宋体"/>
          <w:noProof/>
          <w:sz w:val="24"/>
          <w:szCs w:val="24"/>
        </w:rPr>
        <w:lastRenderedPageBreak/>
        <w:drawing>
          <wp:inline distT="0" distB="0" distL="0" distR="0" wp14:anchorId="259F1459" wp14:editId="57862958">
            <wp:extent cx="5274310" cy="39204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920490"/>
                    </a:xfrm>
                    <a:prstGeom prst="rect">
                      <a:avLst/>
                    </a:prstGeom>
                  </pic:spPr>
                </pic:pic>
              </a:graphicData>
            </a:graphic>
          </wp:inline>
        </w:drawing>
      </w:r>
    </w:p>
    <w:p w14:paraId="2FA71710" w14:textId="77777777" w:rsidR="00A038C1" w:rsidRPr="00A038C1" w:rsidRDefault="00A038C1" w:rsidP="00A038C1">
      <w:pPr>
        <w:pStyle w:val="a3"/>
        <w:shd w:val="clear" w:color="auto" w:fill="FFFFFF"/>
        <w:spacing w:before="0" w:beforeAutospacing="0" w:after="0" w:afterAutospacing="0" w:line="420" w:lineRule="atLeast"/>
        <w:ind w:firstLine="480"/>
        <w:jc w:val="both"/>
        <w:rPr>
          <w:color w:val="333333"/>
          <w:spacing w:val="8"/>
        </w:rPr>
      </w:pPr>
      <w:r w:rsidRPr="00A038C1">
        <w:rPr>
          <w:rFonts w:hint="eastAsia"/>
          <w:color w:val="333333"/>
          <w:spacing w:val="8"/>
        </w:rPr>
        <w:t>通过对图4进行分析，可以得出以下结论。①未考虑环境投入时，中国进口天然气EROI基本维持在7~11之间；即使考虑环境投入，EROI也处于高位，基本维持在6~10之间，远高于EROI分析的均衡点。进口天然气EROI值相对较高，这是由于全球天然气开发处于早期阶段，开采过程中基本依靠自然压力，未采用二次、三次开采技术，因而开发能源投入较低，EROI值也相对较高。言而总之，从物质分析角度看，进口天然气具有较高的投入产出效益，具备可行性。在中国天然气供需缺口越来越大的背景下，中国可通过大量进口天然气，缓解国内供给压力，保障天然气供给安全。②进口天然气EROI变动主要受天然气进口价格影响，且两者呈现逆向关系。2010年开始，全球天然气价格开始上涨，且处于高位，对应地，中国进口天然气EROI值开始下降，且维持在低位；2015年，全球能源价格下跌，中国进口天然气EROI值上升。两者之所以存在逆向关系，是由于当进口单价较低时，进口相同气量的天然气所需外汇较少，所需生产的出口商品也相对较少，相应的能源投入也相对较低，因而EROI值相对较高。③管道气的EROI值略高于LNG的EROI值，这主要是由管道气的进口单价相对较低导致的。</w:t>
      </w:r>
    </w:p>
    <w:p w14:paraId="382C90B0"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Fonts w:hint="eastAsia"/>
          <w:color w:val="333333"/>
          <w:spacing w:val="8"/>
        </w:rPr>
        <w:t> </w:t>
      </w:r>
    </w:p>
    <w:p w14:paraId="20B77B8B"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4"/>
          <w:rFonts w:hint="eastAsia"/>
          <w:color w:val="333333"/>
          <w:spacing w:val="8"/>
        </w:rPr>
        <w:t>3 不同进口国的EROI分析</w:t>
      </w:r>
    </w:p>
    <w:p w14:paraId="3A0B418A"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lastRenderedPageBreak/>
        <w:t>为对比不同进口来源的EROI，本文利用海关总署统计的不同进口国进口量和进口金额数据对中国天然气主要进口国的EROI进行了测算，测算国家包括卡塔尔、马来西亚、澳大利亚、印度尼西亚、也门、俄罗斯、埃及、尼日利亚、特立尼达和多巴哥、巴布新几内亚、阿尔及利亚、赤道几内亚、土库曼斯坦、乌兹别克斯坦、缅甸和哈萨克斯坦等十六个国家。为方便对比，本文选择了2010~2015年间数据，具体测算结果如图5所示。</w:t>
      </w:r>
    </w:p>
    <w:p w14:paraId="2D220668" w14:textId="284D04D0" w:rsidR="00A038C1" w:rsidRPr="00A038C1" w:rsidRDefault="00A038C1">
      <w:pPr>
        <w:rPr>
          <w:rFonts w:ascii="宋体" w:eastAsia="宋体" w:hAnsi="宋体"/>
          <w:sz w:val="24"/>
          <w:szCs w:val="24"/>
        </w:rPr>
      </w:pPr>
      <w:r w:rsidRPr="00A038C1">
        <w:rPr>
          <w:rFonts w:ascii="宋体" w:eastAsia="宋体" w:hAnsi="宋体"/>
          <w:noProof/>
          <w:sz w:val="24"/>
          <w:szCs w:val="24"/>
        </w:rPr>
        <w:drawing>
          <wp:inline distT="0" distB="0" distL="0" distR="0" wp14:anchorId="76BEA34A" wp14:editId="4D0CB997">
            <wp:extent cx="5274310" cy="323659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236595"/>
                    </a:xfrm>
                    <a:prstGeom prst="rect">
                      <a:avLst/>
                    </a:prstGeom>
                  </pic:spPr>
                </pic:pic>
              </a:graphicData>
            </a:graphic>
          </wp:inline>
        </w:drawing>
      </w:r>
      <w:r w:rsidRPr="00A038C1">
        <w:rPr>
          <w:rFonts w:ascii="宋体" w:eastAsia="宋体" w:hAnsi="宋体"/>
          <w:noProof/>
          <w:sz w:val="24"/>
          <w:szCs w:val="24"/>
        </w:rPr>
        <w:drawing>
          <wp:inline distT="0" distB="0" distL="0" distR="0" wp14:anchorId="25AE8CF7" wp14:editId="404814A6">
            <wp:extent cx="5274310" cy="36607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660775"/>
                    </a:xfrm>
                    <a:prstGeom prst="rect">
                      <a:avLst/>
                    </a:prstGeom>
                  </pic:spPr>
                </pic:pic>
              </a:graphicData>
            </a:graphic>
          </wp:inline>
        </w:drawing>
      </w:r>
    </w:p>
    <w:p w14:paraId="78CE3F2E" w14:textId="77777777" w:rsidR="00A038C1" w:rsidRPr="00A038C1" w:rsidRDefault="00A038C1" w:rsidP="00A038C1">
      <w:pPr>
        <w:pStyle w:val="a3"/>
        <w:shd w:val="clear" w:color="auto" w:fill="FFFFFF"/>
        <w:spacing w:before="0" w:beforeAutospacing="0" w:after="0" w:afterAutospacing="0" w:line="420" w:lineRule="atLeast"/>
        <w:ind w:firstLine="480"/>
        <w:jc w:val="both"/>
        <w:rPr>
          <w:color w:val="333333"/>
          <w:spacing w:val="8"/>
        </w:rPr>
      </w:pPr>
      <w:r w:rsidRPr="00A038C1">
        <w:rPr>
          <w:rFonts w:hint="eastAsia"/>
          <w:color w:val="333333"/>
          <w:spacing w:val="8"/>
        </w:rPr>
        <w:lastRenderedPageBreak/>
        <w:t>通过分析图5，可以得到以下结论。</w:t>
      </w:r>
    </w:p>
    <w:p w14:paraId="1B5AD0E8"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1）不考虑环境投入时，进口天然气EROI值处于4~24区间之内；考虑环境投入时，进口天然气EROI值略微降低，处于4~22之间。</w:t>
      </w:r>
    </w:p>
    <w:p w14:paraId="060D1E3D"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2）不同进口来源国EROI值差异明显。LNG进口国中，卡塔尔的EROI平均值最低，澳大利亚最高。管道气进口国中，缅甸的EROI平均值最低，哈萨克斯坦最高。因而，从EROI角度分析，为优化中国天然气进口结构，提高进口天然气整体的投入产出效益，未来，中国需增加从澳大利亚、哈萨克斯坦、印度尼西亚、马来西亚、乌兹别克斯坦、土库曼斯坦等国进口气量，降低从卡塔尔、也门、埃及、尼日利亚、俄罗斯等国的进口气量。</w:t>
      </w:r>
    </w:p>
    <w:p w14:paraId="404DC85A"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3）管道气进口国家EROI值普遍高于LNG进口国家EROI，这与管道气进口气价相对较低相关。</w:t>
      </w:r>
    </w:p>
    <w:p w14:paraId="030BF566"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4）EROI</w:t>
      </w:r>
      <w:r w:rsidRPr="00A038C1">
        <w:rPr>
          <w:rFonts w:hint="eastAsia"/>
          <w:color w:val="333333"/>
          <w:spacing w:val="8"/>
          <w:vertAlign w:val="subscript"/>
        </w:rPr>
        <w:t>IG</w:t>
      </w:r>
      <w:r w:rsidRPr="00A038C1">
        <w:rPr>
          <w:rFonts w:hint="eastAsia"/>
          <w:color w:val="333333"/>
          <w:spacing w:val="8"/>
        </w:rPr>
        <w:t>与EROI</w:t>
      </w:r>
      <w:r w:rsidRPr="00A038C1">
        <w:rPr>
          <w:rFonts w:hint="eastAsia"/>
          <w:color w:val="333333"/>
          <w:spacing w:val="8"/>
          <w:vertAlign w:val="subscript"/>
        </w:rPr>
        <w:t>IG，ENV</w:t>
      </w:r>
      <w:r w:rsidRPr="00A038C1">
        <w:rPr>
          <w:rFonts w:hint="eastAsia"/>
          <w:color w:val="333333"/>
          <w:spacing w:val="8"/>
        </w:rPr>
        <w:t>差值主要受进口金额和运输距离影响。2015年，中国从澳大利亚和马来西亚进口的LNG 总金额相近，但从澳大利亚进口的LNG的两数值的差值约为0.86，而从马来西亚进口的LNG两数值间差值仅为0.33。这是由于环境投入主要受购置天然气外汇投入、温室气体排放因子、温室气体治理成本、运输距离等因素影响。当进口金额相近时，两者间差值主要受运输距离影响；类似地，运输距离相近时，两者间差值主要受进口金额影响。</w:t>
      </w:r>
    </w:p>
    <w:p w14:paraId="7CD1EF37"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Fonts w:hint="eastAsia"/>
          <w:color w:val="333333"/>
          <w:spacing w:val="8"/>
        </w:rPr>
        <w:t> </w:t>
      </w:r>
    </w:p>
    <w:p w14:paraId="1CD314C9" w14:textId="77777777" w:rsidR="00A038C1" w:rsidRPr="00A038C1" w:rsidRDefault="00A038C1" w:rsidP="00A038C1">
      <w:pPr>
        <w:pStyle w:val="a3"/>
        <w:shd w:val="clear" w:color="auto" w:fill="FFFFFF"/>
        <w:spacing w:before="0" w:beforeAutospacing="0" w:after="0" w:afterAutospacing="0" w:line="420" w:lineRule="atLeast"/>
        <w:jc w:val="both"/>
        <w:rPr>
          <w:rFonts w:hint="eastAsia"/>
          <w:color w:val="333333"/>
          <w:spacing w:val="8"/>
        </w:rPr>
      </w:pPr>
      <w:r w:rsidRPr="00A038C1">
        <w:rPr>
          <w:rStyle w:val="a4"/>
          <w:rFonts w:hint="eastAsia"/>
          <w:color w:val="333333"/>
          <w:spacing w:val="8"/>
        </w:rPr>
        <w:t>4 结 论</w:t>
      </w:r>
    </w:p>
    <w:p w14:paraId="68D11A8A"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本文首先明确了中国进口天然气能源投资回报测算的系统边界，界定了能源产出指标、能源投入指标和环境投入指标，随后利用能源投资回报分析方法对中国进口天然气进行了整体分析，从物质角度分析进口天然气的能源投入产出效益。然后，根据天然气进口来源对不同国家进口的天然气能源投资回报进行了测算，为优化中国天然气进口结构提供决策依据。分析过程中，本文测算了考虑环境投入和不考虑环境投入两种情景下的能源投资回报时间序列，通过对比两组数据研究了能源投入对能源投资回报的影响。经过分析后，本文得到如下结论和建议。</w:t>
      </w:r>
    </w:p>
    <w:p w14:paraId="38F410D3"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1）中国进口天然气的能源投资回报介于7~11之间，处于高位。因而，从能源投入产出效益来看，进口天然气具备可行性。在天然气需大量进口的背景下，中国可通过扩大进口量来满足未来需求。为鼓励进口天然气产业发展，中国政府需一方面加快天然气定价机制改革、放开进口天然气权限等市场化手段，吸引更多企业介入进口天然气行业；另一方面，通过提供补贴、</w:t>
      </w:r>
      <w:r w:rsidRPr="00A038C1">
        <w:rPr>
          <w:rFonts w:hint="eastAsia"/>
          <w:color w:val="333333"/>
          <w:spacing w:val="8"/>
        </w:rPr>
        <w:lastRenderedPageBreak/>
        <w:t>投资补偿或低息贷款等方式，激励民营资本投资于进口天然气行业的基础设施建设。</w:t>
      </w:r>
    </w:p>
    <w:p w14:paraId="06364FB0"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2）中国进口天然气的能源投资回报与进口天然气价格存在逆向关关系，即随着天然气进口价格的上涨，能源投资回报降低。为提高进口天然气能源投资回报，中国需增加天然气定价话语权。为此，中国政府可一方面借鉴美国经验，通过推动天然气期货产品发展，抢占亚太地区天然气定价话语权；另一方面，可借助区位优势，通过与周边国家，如哈萨克斯坦、乌兹别克斯坦、缅甸等国家签订可调节价格的长期供气合同，锁定天然气资源，降低价格波动风险。</w:t>
      </w:r>
    </w:p>
    <w:p w14:paraId="6C9BCF07"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3）就贸易方式而言，管道气的能源投资回报略高一筹。就进口来源而言，哈萨克斯坦、澳大利亚、印度尼西亚、马来西亚、乌兹别克斯坦、土库曼斯坦等国的能源投资回报较高，卡塔尔、也门、埃及、尼日利亚等国的能源投资回报较低。为优化中国天然气进口结构，提高天然气能源投资回报，在确保天然气供应安全的前提下，可借“一带一路”之东风，加强与中亚地区和亚太地区能源合作，加快国内天然气管网建设和LNG 接收站建设，为增加从哈萨克斯坦、澳大利亚、印度尼西亚等国家的进口量奠定设施基础。</w:t>
      </w:r>
    </w:p>
    <w:p w14:paraId="3062334F" w14:textId="77777777" w:rsidR="00A038C1" w:rsidRPr="00A038C1" w:rsidRDefault="00A038C1" w:rsidP="00A038C1">
      <w:pPr>
        <w:pStyle w:val="a3"/>
        <w:shd w:val="clear" w:color="auto" w:fill="FFFFFF"/>
        <w:spacing w:before="0" w:beforeAutospacing="0" w:after="0" w:afterAutospacing="0" w:line="420" w:lineRule="atLeast"/>
        <w:ind w:firstLine="480"/>
        <w:jc w:val="both"/>
        <w:rPr>
          <w:rFonts w:hint="eastAsia"/>
          <w:color w:val="333333"/>
          <w:spacing w:val="8"/>
        </w:rPr>
      </w:pPr>
      <w:r w:rsidRPr="00A038C1">
        <w:rPr>
          <w:rFonts w:hint="eastAsia"/>
          <w:color w:val="333333"/>
          <w:spacing w:val="8"/>
        </w:rPr>
        <w:t>4）环境投入会降低能源投资回报。随着人们对环境的愈发重视，未来环境投入很可能会作为考量能源生产或利用过程中的一项指标。因而，需充分重视环境投入对进口天然气的能源投资回报影响以及潜在的经济影响，通过应用先进治理污染技术，如碳捕捉和储存技术，降低温室气体排放。此外，中国政府还需制定政策激励新的环保技术的开发和应用。（</w:t>
      </w:r>
      <w:r w:rsidRPr="00A038C1">
        <w:rPr>
          <w:rStyle w:val="a4"/>
          <w:rFonts w:hint="eastAsia"/>
          <w:color w:val="333333"/>
          <w:spacing w:val="8"/>
        </w:rPr>
        <w:t>来源：《中国矿业》，2017年04期</w:t>
      </w:r>
      <w:r w:rsidRPr="00A038C1">
        <w:rPr>
          <w:rFonts w:hint="eastAsia"/>
          <w:color w:val="333333"/>
          <w:spacing w:val="8"/>
        </w:rPr>
        <w:t>）</w:t>
      </w:r>
    </w:p>
    <w:p w14:paraId="2DBE779B" w14:textId="77777777" w:rsidR="00A038C1" w:rsidRPr="00A038C1" w:rsidRDefault="00A038C1">
      <w:pPr>
        <w:rPr>
          <w:rFonts w:ascii="宋体" w:eastAsia="宋体" w:hAnsi="宋体" w:hint="eastAsia"/>
          <w:sz w:val="24"/>
          <w:szCs w:val="24"/>
        </w:rPr>
      </w:pPr>
    </w:p>
    <w:sectPr w:rsidR="00A038C1" w:rsidRPr="00A038C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B88"/>
    <w:rsid w:val="00A038C1"/>
    <w:rsid w:val="00C57B88"/>
    <w:rsid w:val="00CE0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91CAF"/>
  <w15:chartTrackingRefBased/>
  <w15:docId w15:val="{98FE176A-BDFF-4454-9F0B-E071F7FB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A038C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A038C1"/>
    <w:rPr>
      <w:rFonts w:ascii="宋体" w:eastAsia="宋体" w:hAnsi="宋体" w:cs="宋体"/>
      <w:b/>
      <w:bCs/>
      <w:kern w:val="0"/>
      <w:sz w:val="36"/>
      <w:szCs w:val="36"/>
    </w:rPr>
  </w:style>
  <w:style w:type="paragraph" w:styleId="a3">
    <w:name w:val="Normal (Web)"/>
    <w:basedOn w:val="a"/>
    <w:uiPriority w:val="99"/>
    <w:semiHidden/>
    <w:unhideWhenUsed/>
    <w:rsid w:val="00A038C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038C1"/>
    <w:rPr>
      <w:b/>
      <w:bCs/>
    </w:rPr>
  </w:style>
  <w:style w:type="character" w:styleId="a5">
    <w:name w:val="Emphasis"/>
    <w:basedOn w:val="a0"/>
    <w:uiPriority w:val="20"/>
    <w:qFormat/>
    <w:rsid w:val="00A038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49587">
      <w:bodyDiv w:val="1"/>
      <w:marLeft w:val="0"/>
      <w:marRight w:val="0"/>
      <w:marTop w:val="0"/>
      <w:marBottom w:val="0"/>
      <w:divBdr>
        <w:top w:val="none" w:sz="0" w:space="0" w:color="auto"/>
        <w:left w:val="none" w:sz="0" w:space="0" w:color="auto"/>
        <w:bottom w:val="none" w:sz="0" w:space="0" w:color="auto"/>
        <w:right w:val="none" w:sz="0" w:space="0" w:color="auto"/>
      </w:divBdr>
    </w:div>
    <w:div w:id="99422640">
      <w:bodyDiv w:val="1"/>
      <w:marLeft w:val="0"/>
      <w:marRight w:val="0"/>
      <w:marTop w:val="0"/>
      <w:marBottom w:val="0"/>
      <w:divBdr>
        <w:top w:val="none" w:sz="0" w:space="0" w:color="auto"/>
        <w:left w:val="none" w:sz="0" w:space="0" w:color="auto"/>
        <w:bottom w:val="none" w:sz="0" w:space="0" w:color="auto"/>
        <w:right w:val="none" w:sz="0" w:space="0" w:color="auto"/>
      </w:divBdr>
    </w:div>
    <w:div w:id="474298292">
      <w:bodyDiv w:val="1"/>
      <w:marLeft w:val="0"/>
      <w:marRight w:val="0"/>
      <w:marTop w:val="0"/>
      <w:marBottom w:val="0"/>
      <w:divBdr>
        <w:top w:val="none" w:sz="0" w:space="0" w:color="auto"/>
        <w:left w:val="none" w:sz="0" w:space="0" w:color="auto"/>
        <w:bottom w:val="none" w:sz="0" w:space="0" w:color="auto"/>
        <w:right w:val="none" w:sz="0" w:space="0" w:color="auto"/>
      </w:divBdr>
    </w:div>
    <w:div w:id="674117181">
      <w:bodyDiv w:val="1"/>
      <w:marLeft w:val="0"/>
      <w:marRight w:val="0"/>
      <w:marTop w:val="0"/>
      <w:marBottom w:val="0"/>
      <w:divBdr>
        <w:top w:val="none" w:sz="0" w:space="0" w:color="auto"/>
        <w:left w:val="none" w:sz="0" w:space="0" w:color="auto"/>
        <w:bottom w:val="none" w:sz="0" w:space="0" w:color="auto"/>
        <w:right w:val="none" w:sz="0" w:space="0" w:color="auto"/>
      </w:divBdr>
    </w:div>
    <w:div w:id="718895237">
      <w:bodyDiv w:val="1"/>
      <w:marLeft w:val="0"/>
      <w:marRight w:val="0"/>
      <w:marTop w:val="0"/>
      <w:marBottom w:val="0"/>
      <w:divBdr>
        <w:top w:val="none" w:sz="0" w:space="0" w:color="auto"/>
        <w:left w:val="none" w:sz="0" w:space="0" w:color="auto"/>
        <w:bottom w:val="none" w:sz="0" w:space="0" w:color="auto"/>
        <w:right w:val="none" w:sz="0" w:space="0" w:color="auto"/>
      </w:divBdr>
    </w:div>
    <w:div w:id="860166379">
      <w:bodyDiv w:val="1"/>
      <w:marLeft w:val="0"/>
      <w:marRight w:val="0"/>
      <w:marTop w:val="0"/>
      <w:marBottom w:val="0"/>
      <w:divBdr>
        <w:top w:val="none" w:sz="0" w:space="0" w:color="auto"/>
        <w:left w:val="none" w:sz="0" w:space="0" w:color="auto"/>
        <w:bottom w:val="none" w:sz="0" w:space="0" w:color="auto"/>
        <w:right w:val="none" w:sz="0" w:space="0" w:color="auto"/>
      </w:divBdr>
    </w:div>
    <w:div w:id="1021858055">
      <w:bodyDiv w:val="1"/>
      <w:marLeft w:val="0"/>
      <w:marRight w:val="0"/>
      <w:marTop w:val="0"/>
      <w:marBottom w:val="0"/>
      <w:divBdr>
        <w:top w:val="none" w:sz="0" w:space="0" w:color="auto"/>
        <w:left w:val="none" w:sz="0" w:space="0" w:color="auto"/>
        <w:bottom w:val="none" w:sz="0" w:space="0" w:color="auto"/>
        <w:right w:val="none" w:sz="0" w:space="0" w:color="auto"/>
      </w:divBdr>
    </w:div>
    <w:div w:id="1386223016">
      <w:bodyDiv w:val="1"/>
      <w:marLeft w:val="0"/>
      <w:marRight w:val="0"/>
      <w:marTop w:val="0"/>
      <w:marBottom w:val="0"/>
      <w:divBdr>
        <w:top w:val="none" w:sz="0" w:space="0" w:color="auto"/>
        <w:left w:val="none" w:sz="0" w:space="0" w:color="auto"/>
        <w:bottom w:val="none" w:sz="0" w:space="0" w:color="auto"/>
        <w:right w:val="none" w:sz="0" w:space="0" w:color="auto"/>
      </w:divBdr>
    </w:div>
    <w:div w:id="1732465495">
      <w:bodyDiv w:val="1"/>
      <w:marLeft w:val="0"/>
      <w:marRight w:val="0"/>
      <w:marTop w:val="0"/>
      <w:marBottom w:val="0"/>
      <w:divBdr>
        <w:top w:val="none" w:sz="0" w:space="0" w:color="auto"/>
        <w:left w:val="none" w:sz="0" w:space="0" w:color="auto"/>
        <w:bottom w:val="none" w:sz="0" w:space="0" w:color="auto"/>
        <w:right w:val="none" w:sz="0" w:space="0" w:color="auto"/>
      </w:divBdr>
    </w:div>
    <w:div w:id="199224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824</Words>
  <Characters>4698</Characters>
  <Application>Microsoft Office Word</Application>
  <DocSecurity>0</DocSecurity>
  <Lines>39</Lines>
  <Paragraphs>11</Paragraphs>
  <ScaleCrop>false</ScaleCrop>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2020-03-30T06:53:00Z</dcterms:created>
  <dcterms:modified xsi:type="dcterms:W3CDTF">2020-03-30T06:57:00Z</dcterms:modified>
</cp:coreProperties>
</file>